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B59AE" w14:textId="77777777" w:rsidR="00145EB2" w:rsidRDefault="00145EB2" w:rsidP="00145EB2">
      <w:pPr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10C5AEE" w14:textId="77777777" w:rsidR="00145EB2" w:rsidRDefault="00145EB2" w:rsidP="00145EB2">
      <w:pPr>
        <w:rPr>
          <w:b/>
        </w:rPr>
      </w:pPr>
    </w:p>
    <w:p w14:paraId="72091375" w14:textId="77777777" w:rsidR="00D02FFD" w:rsidRDefault="00D02FFD">
      <w:pPr>
        <w:rPr>
          <w:b/>
        </w:rPr>
      </w:pPr>
    </w:p>
    <w:p w14:paraId="613C55C8" w14:textId="77777777" w:rsidR="00476196" w:rsidRPr="0055249F" w:rsidRDefault="00145EB2">
      <w:pPr>
        <w:rPr>
          <w:b/>
          <w:sz w:val="24"/>
          <w:szCs w:val="24"/>
        </w:rPr>
      </w:pPr>
      <w:r w:rsidRPr="0055249F">
        <w:rPr>
          <w:b/>
          <w:sz w:val="24"/>
          <w:szCs w:val="24"/>
        </w:rPr>
        <w:t>K</w:t>
      </w:r>
      <w:r w:rsidR="00476196" w:rsidRPr="0055249F">
        <w:rPr>
          <w:b/>
          <w:sz w:val="24"/>
          <w:szCs w:val="24"/>
        </w:rPr>
        <w:t>auppatietojen julkistamisen lykkäy</w:t>
      </w:r>
      <w:r w:rsidRPr="0055249F">
        <w:rPr>
          <w:b/>
          <w:sz w:val="24"/>
          <w:szCs w:val="24"/>
        </w:rPr>
        <w:t>s</w:t>
      </w:r>
      <w:r w:rsidR="005068F9" w:rsidRPr="0055249F">
        <w:rPr>
          <w:b/>
          <w:sz w:val="24"/>
          <w:szCs w:val="24"/>
        </w:rPr>
        <w:t xml:space="preserve"> tai </w:t>
      </w:r>
      <w:r w:rsidRPr="0055249F">
        <w:rPr>
          <w:b/>
          <w:sz w:val="24"/>
          <w:szCs w:val="24"/>
        </w:rPr>
        <w:t xml:space="preserve">vapautus </w:t>
      </w:r>
      <w:r w:rsidR="003C5092" w:rsidRPr="0055249F">
        <w:rPr>
          <w:b/>
          <w:sz w:val="24"/>
          <w:szCs w:val="24"/>
        </w:rPr>
        <w:t xml:space="preserve">tarjoustietojen </w:t>
      </w:r>
      <w:r w:rsidRPr="0055249F">
        <w:rPr>
          <w:b/>
          <w:sz w:val="24"/>
          <w:szCs w:val="24"/>
        </w:rPr>
        <w:t>antamisesta</w:t>
      </w:r>
    </w:p>
    <w:p w14:paraId="62B3B13F" w14:textId="4A0FEFC3" w:rsidR="00476196" w:rsidRDefault="00476196">
      <w:r>
        <w:t>Kauppapaikat</w:t>
      </w:r>
      <w:r w:rsidR="00532357">
        <w:t>, sijoituspalveluja tarjoavat luottolaitokset</w:t>
      </w:r>
      <w:r>
        <w:t xml:space="preserve"> ja sijoituspalveluyritykset hakevat tällä lomakkeella </w:t>
      </w:r>
      <w:proofErr w:type="spellStart"/>
      <w:r>
        <w:t>MiFIR</w:t>
      </w:r>
      <w:proofErr w:type="spellEnd"/>
      <w:r w:rsidR="00932BAC">
        <w:rPr>
          <w:rStyle w:val="FootnoteReference"/>
        </w:rPr>
        <w:footnoteReference w:id="1"/>
      </w:r>
      <w:r w:rsidR="000B661F">
        <w:t xml:space="preserve"> artiklojen </w:t>
      </w:r>
      <w:r>
        <w:t>1</w:t>
      </w:r>
      <w:r w:rsidR="000B661F">
        <w:t>1 tai</w:t>
      </w:r>
      <w:r w:rsidR="00780327">
        <w:t xml:space="preserve"> 21 perusteella myönnettäv</w:t>
      </w:r>
      <w:r w:rsidR="000B661F">
        <w:t>ää lupaa lykätä</w:t>
      </w:r>
      <w:r>
        <w:t xml:space="preserve"> kauppatietojen julki</w:t>
      </w:r>
      <w:r w:rsidR="00780327">
        <w:t>sta</w:t>
      </w:r>
      <w:r w:rsidR="000B661F">
        <w:t xml:space="preserve">mista </w:t>
      </w:r>
      <w:proofErr w:type="spellStart"/>
      <w:r w:rsidR="000B661F">
        <w:t>non-equity</w:t>
      </w:r>
      <w:proofErr w:type="spellEnd"/>
      <w:r w:rsidR="000B661F">
        <w:t xml:space="preserve"> rahoitusvälineille eli joukkovelkakirjalainoille, johdannaisille, strukturoiduille rahoitustuotteille ja päästöoikeuksille.</w:t>
      </w:r>
    </w:p>
    <w:p w14:paraId="22A3A4B1" w14:textId="77777777" w:rsidR="00476196" w:rsidRDefault="00846C57">
      <w:r>
        <w:t>Kauppojen s</w:t>
      </w:r>
      <w:r w:rsidR="00780327">
        <w:t>isäiset</w:t>
      </w:r>
      <w:r w:rsidR="00476196">
        <w:t xml:space="preserve"> toteuttaja</w:t>
      </w:r>
      <w:r w:rsidR="00780327">
        <w:t>t</w:t>
      </w:r>
      <w:r>
        <w:t xml:space="preserve"> (SI)</w:t>
      </w:r>
      <w:r w:rsidR="00476196">
        <w:t xml:space="preserve"> </w:t>
      </w:r>
      <w:r w:rsidR="00780327">
        <w:t xml:space="preserve">hakevat tällä lomakkeella </w:t>
      </w:r>
      <w:proofErr w:type="spellStart"/>
      <w:r w:rsidR="00780327">
        <w:t>MiFIR</w:t>
      </w:r>
      <w:proofErr w:type="spellEnd"/>
      <w:r w:rsidR="00780327">
        <w:t xml:space="preserve"> artiklan 18.2 perusteella myönnettävää </w:t>
      </w:r>
      <w:r w:rsidR="005068F9">
        <w:t xml:space="preserve">vapautusta </w:t>
      </w:r>
      <w:r w:rsidR="00780327">
        <w:t xml:space="preserve">tarjoustietojen </w:t>
      </w:r>
      <w:r w:rsidR="005068F9">
        <w:t>antamisesta</w:t>
      </w:r>
      <w:r w:rsidR="00780327">
        <w:t>.</w:t>
      </w:r>
    </w:p>
    <w:p w14:paraId="7AF1D5DE" w14:textId="35A84FF0" w:rsidR="005068F9" w:rsidRDefault="005068F9">
      <w:r w:rsidRPr="005068F9">
        <w:t>Yhdellä hakemuslomakkeella tulee hakea vain yhtä yksilöityä vapautusta tai lykkäystä</w:t>
      </w:r>
      <w:r w:rsidR="007C0E6E">
        <w:t xml:space="preserve"> (hakemuksen koh</w:t>
      </w:r>
      <w:r w:rsidR="000B661F">
        <w:t>ta</w:t>
      </w:r>
      <w:r w:rsidR="00683347">
        <w:t xml:space="preserve"> 2.1)</w:t>
      </w:r>
      <w:r w:rsidRPr="005068F9">
        <w:t xml:space="preserve">. </w:t>
      </w:r>
    </w:p>
    <w:p w14:paraId="2AA68F00" w14:textId="77777777" w:rsidR="008F0484" w:rsidRDefault="008F0484">
      <w:pPr>
        <w:rPr>
          <w:b/>
        </w:rPr>
      </w:pPr>
    </w:p>
    <w:p w14:paraId="52C8B576" w14:textId="77777777" w:rsidR="00780327" w:rsidRPr="00780327" w:rsidRDefault="00932BAC">
      <w:pPr>
        <w:rPr>
          <w:b/>
        </w:rPr>
      </w:pPr>
      <w:r>
        <w:rPr>
          <w:b/>
        </w:rPr>
        <w:t xml:space="preserve">1 </w:t>
      </w:r>
      <w:r w:rsidR="00780327" w:rsidRPr="00780327">
        <w:rPr>
          <w:b/>
        </w:rPr>
        <w:t>Hakijan tiedot</w:t>
      </w:r>
    </w:p>
    <w:p w14:paraId="78E64E20" w14:textId="77777777" w:rsidR="00932BAC" w:rsidRDefault="00064C44" w:rsidP="00932BAC">
      <w:pPr>
        <w:pStyle w:val="ListParagraph"/>
        <w:numPr>
          <w:ilvl w:val="1"/>
          <w:numId w:val="1"/>
        </w:numPr>
      </w:pPr>
      <w:proofErr w:type="spellStart"/>
      <w:r>
        <w:t>Hakemuspvm</w:t>
      </w:r>
      <w:proofErr w:type="spellEnd"/>
    </w:p>
    <w:tbl>
      <w:tblPr>
        <w:tblStyle w:val="TableGrid"/>
        <w:tblW w:w="0" w:type="auto"/>
        <w:tblInd w:w="1664" w:type="dxa"/>
        <w:tblLook w:val="04A0" w:firstRow="1" w:lastRow="0" w:firstColumn="1" w:lastColumn="0" w:noHBand="0" w:noVBand="1"/>
      </w:tblPr>
      <w:tblGrid>
        <w:gridCol w:w="7964"/>
      </w:tblGrid>
      <w:tr w:rsidR="00B831D3" w14:paraId="3854749D" w14:textId="77777777" w:rsidTr="00B831D3">
        <w:tc>
          <w:tcPr>
            <w:tcW w:w="7964" w:type="dxa"/>
          </w:tcPr>
          <w:p w14:paraId="36500ECC" w14:textId="77777777" w:rsidR="00B831D3" w:rsidRDefault="00B831D3" w:rsidP="00B831D3">
            <w:pPr>
              <w:pStyle w:val="ListParagraph"/>
              <w:ind w:left="0"/>
            </w:pPr>
          </w:p>
        </w:tc>
      </w:tr>
    </w:tbl>
    <w:p w14:paraId="1B0A6FF9" w14:textId="77777777" w:rsidR="00B831D3" w:rsidRDefault="00B831D3" w:rsidP="00B831D3">
      <w:pPr>
        <w:pStyle w:val="ListParagraph"/>
        <w:ind w:left="1664"/>
      </w:pPr>
    </w:p>
    <w:p w14:paraId="7A765B20" w14:textId="77777777" w:rsidR="00780327" w:rsidRDefault="00932BAC" w:rsidP="00B831D3">
      <w:pPr>
        <w:pStyle w:val="ListParagraph"/>
        <w:numPr>
          <w:ilvl w:val="1"/>
          <w:numId w:val="1"/>
        </w:numPr>
      </w:pPr>
      <w:r>
        <w:t>Hakija</w:t>
      </w:r>
    </w:p>
    <w:tbl>
      <w:tblPr>
        <w:tblStyle w:val="TableGrid"/>
        <w:tblW w:w="0" w:type="auto"/>
        <w:tblInd w:w="1664" w:type="dxa"/>
        <w:tblLook w:val="04A0" w:firstRow="1" w:lastRow="0" w:firstColumn="1" w:lastColumn="0" w:noHBand="0" w:noVBand="1"/>
      </w:tblPr>
      <w:tblGrid>
        <w:gridCol w:w="1875"/>
        <w:gridCol w:w="6089"/>
      </w:tblGrid>
      <w:tr w:rsidR="008F0484" w14:paraId="421BF15D" w14:textId="77777777" w:rsidTr="008F0484">
        <w:tc>
          <w:tcPr>
            <w:tcW w:w="1875" w:type="dxa"/>
          </w:tcPr>
          <w:p w14:paraId="2992D941" w14:textId="77777777" w:rsidR="008F0484" w:rsidRDefault="008F0484" w:rsidP="00B831D3">
            <w:pPr>
              <w:pStyle w:val="ListParagraph"/>
              <w:ind w:left="0"/>
            </w:pPr>
            <w:r>
              <w:t>Yhtiön nimi</w:t>
            </w:r>
          </w:p>
        </w:tc>
        <w:tc>
          <w:tcPr>
            <w:tcW w:w="6089" w:type="dxa"/>
          </w:tcPr>
          <w:p w14:paraId="01A56B8F" w14:textId="77777777" w:rsidR="008F0484" w:rsidRDefault="008F0484" w:rsidP="00B831D3">
            <w:pPr>
              <w:pStyle w:val="ListParagraph"/>
              <w:ind w:left="0"/>
            </w:pPr>
          </w:p>
        </w:tc>
      </w:tr>
      <w:tr w:rsidR="008F0484" w14:paraId="61B2392F" w14:textId="77777777" w:rsidTr="008F0484">
        <w:tc>
          <w:tcPr>
            <w:tcW w:w="1875" w:type="dxa"/>
          </w:tcPr>
          <w:p w14:paraId="45076144" w14:textId="77777777" w:rsidR="008F0484" w:rsidRDefault="005748F8" w:rsidP="005748F8">
            <w:pPr>
              <w:pStyle w:val="ListParagraph"/>
              <w:ind w:left="0"/>
            </w:pPr>
            <w:r>
              <w:t xml:space="preserve">LEI </w:t>
            </w:r>
          </w:p>
        </w:tc>
        <w:tc>
          <w:tcPr>
            <w:tcW w:w="6089" w:type="dxa"/>
          </w:tcPr>
          <w:p w14:paraId="472B42E5" w14:textId="77777777" w:rsidR="008F0484" w:rsidRDefault="008F0484" w:rsidP="00B831D3">
            <w:pPr>
              <w:pStyle w:val="ListParagraph"/>
              <w:ind w:left="0"/>
            </w:pPr>
          </w:p>
        </w:tc>
      </w:tr>
    </w:tbl>
    <w:p w14:paraId="0D48B2CB" w14:textId="77777777" w:rsidR="00B831D3" w:rsidRDefault="00B831D3" w:rsidP="00B831D3">
      <w:pPr>
        <w:pStyle w:val="ListParagraph"/>
        <w:ind w:left="1664"/>
      </w:pPr>
    </w:p>
    <w:p w14:paraId="38FFCCBF" w14:textId="77777777" w:rsidR="00780327" w:rsidRDefault="00780327" w:rsidP="00B831D3">
      <w:pPr>
        <w:pStyle w:val="ListParagraph"/>
        <w:numPr>
          <w:ilvl w:val="1"/>
          <w:numId w:val="1"/>
        </w:numPr>
      </w:pPr>
      <w:r>
        <w:t>Yhteyshenkilön tiedot</w:t>
      </w:r>
    </w:p>
    <w:tbl>
      <w:tblPr>
        <w:tblStyle w:val="TableGrid"/>
        <w:tblW w:w="0" w:type="auto"/>
        <w:tblInd w:w="1664" w:type="dxa"/>
        <w:tblLook w:val="04A0" w:firstRow="1" w:lastRow="0" w:firstColumn="1" w:lastColumn="0" w:noHBand="0" w:noVBand="1"/>
      </w:tblPr>
      <w:tblGrid>
        <w:gridCol w:w="1875"/>
        <w:gridCol w:w="6089"/>
      </w:tblGrid>
      <w:tr w:rsidR="00B831D3" w14:paraId="695E6B3E" w14:textId="77777777" w:rsidTr="00B831D3">
        <w:tc>
          <w:tcPr>
            <w:tcW w:w="1875" w:type="dxa"/>
          </w:tcPr>
          <w:p w14:paraId="485E7B4D" w14:textId="77777777" w:rsidR="00B831D3" w:rsidRDefault="00B831D3" w:rsidP="00B831D3">
            <w:pPr>
              <w:pStyle w:val="ListParagraph"/>
              <w:ind w:left="0"/>
            </w:pPr>
            <w:r>
              <w:t>Nimi</w:t>
            </w:r>
          </w:p>
        </w:tc>
        <w:tc>
          <w:tcPr>
            <w:tcW w:w="6089" w:type="dxa"/>
          </w:tcPr>
          <w:p w14:paraId="6BAD107D" w14:textId="77777777" w:rsidR="00B831D3" w:rsidRDefault="00B831D3" w:rsidP="00B831D3">
            <w:pPr>
              <w:pStyle w:val="ListParagraph"/>
              <w:ind w:left="0"/>
            </w:pPr>
          </w:p>
        </w:tc>
      </w:tr>
      <w:tr w:rsidR="00B831D3" w14:paraId="0DFEAFF7" w14:textId="77777777" w:rsidTr="00B831D3">
        <w:tc>
          <w:tcPr>
            <w:tcW w:w="1875" w:type="dxa"/>
          </w:tcPr>
          <w:p w14:paraId="66450FA6" w14:textId="77777777" w:rsidR="00B831D3" w:rsidRDefault="00B831D3" w:rsidP="00B831D3">
            <w:pPr>
              <w:pStyle w:val="ListParagraph"/>
              <w:ind w:left="0"/>
            </w:pPr>
            <w:r>
              <w:t>Osoite</w:t>
            </w:r>
          </w:p>
        </w:tc>
        <w:tc>
          <w:tcPr>
            <w:tcW w:w="6089" w:type="dxa"/>
          </w:tcPr>
          <w:p w14:paraId="02764340" w14:textId="77777777" w:rsidR="00B831D3" w:rsidRDefault="00B831D3" w:rsidP="00B831D3">
            <w:pPr>
              <w:pStyle w:val="ListParagraph"/>
              <w:ind w:left="0"/>
            </w:pPr>
          </w:p>
        </w:tc>
      </w:tr>
      <w:tr w:rsidR="00B831D3" w14:paraId="04E3B336" w14:textId="77777777" w:rsidTr="00B831D3">
        <w:tc>
          <w:tcPr>
            <w:tcW w:w="1875" w:type="dxa"/>
          </w:tcPr>
          <w:p w14:paraId="7EB155AB" w14:textId="77777777" w:rsidR="00B831D3" w:rsidRDefault="00B831D3" w:rsidP="00B831D3">
            <w:pPr>
              <w:pStyle w:val="ListParagraph"/>
              <w:ind w:left="0"/>
            </w:pPr>
            <w:r>
              <w:t>Puhelinnumero</w:t>
            </w:r>
          </w:p>
        </w:tc>
        <w:tc>
          <w:tcPr>
            <w:tcW w:w="6089" w:type="dxa"/>
          </w:tcPr>
          <w:p w14:paraId="74308824" w14:textId="77777777" w:rsidR="00B831D3" w:rsidRDefault="00B831D3" w:rsidP="00B831D3">
            <w:pPr>
              <w:pStyle w:val="ListParagraph"/>
              <w:ind w:left="0"/>
            </w:pPr>
          </w:p>
        </w:tc>
      </w:tr>
      <w:tr w:rsidR="00B831D3" w14:paraId="6BE1E155" w14:textId="77777777" w:rsidTr="00B831D3">
        <w:tc>
          <w:tcPr>
            <w:tcW w:w="1875" w:type="dxa"/>
          </w:tcPr>
          <w:p w14:paraId="2E5EC1E9" w14:textId="77777777" w:rsidR="00B831D3" w:rsidRDefault="00B831D3" w:rsidP="00B831D3">
            <w:pPr>
              <w:pStyle w:val="ListParagraph"/>
              <w:ind w:left="0"/>
            </w:pPr>
            <w:r>
              <w:t>Sähköpostiosoite</w:t>
            </w:r>
          </w:p>
        </w:tc>
        <w:tc>
          <w:tcPr>
            <w:tcW w:w="6089" w:type="dxa"/>
          </w:tcPr>
          <w:p w14:paraId="0441D054" w14:textId="77777777" w:rsidR="00B831D3" w:rsidRDefault="00B831D3" w:rsidP="00B831D3">
            <w:pPr>
              <w:pStyle w:val="ListParagraph"/>
              <w:ind w:left="0"/>
            </w:pPr>
          </w:p>
        </w:tc>
      </w:tr>
    </w:tbl>
    <w:p w14:paraId="198FC497" w14:textId="77777777" w:rsidR="00950DA0" w:rsidRDefault="00950DA0">
      <w:pPr>
        <w:rPr>
          <w:b/>
        </w:rPr>
      </w:pPr>
    </w:p>
    <w:p w14:paraId="703D21D6" w14:textId="77777777" w:rsidR="0055249F" w:rsidRDefault="0055249F">
      <w:pPr>
        <w:rPr>
          <w:b/>
        </w:rPr>
      </w:pPr>
      <w:r>
        <w:rPr>
          <w:b/>
        </w:rPr>
        <w:br w:type="page"/>
      </w:r>
    </w:p>
    <w:p w14:paraId="7447FCBC" w14:textId="77777777" w:rsidR="0055249F" w:rsidRDefault="0055249F">
      <w:pPr>
        <w:rPr>
          <w:b/>
        </w:rPr>
      </w:pPr>
    </w:p>
    <w:p w14:paraId="2ABEEB3A" w14:textId="1568CAEA" w:rsidR="00780327" w:rsidRPr="00780327" w:rsidRDefault="00932BAC">
      <w:pPr>
        <w:rPr>
          <w:b/>
        </w:rPr>
      </w:pPr>
      <w:r>
        <w:rPr>
          <w:b/>
        </w:rPr>
        <w:t xml:space="preserve">2 </w:t>
      </w:r>
      <w:r w:rsidR="00780327" w:rsidRPr="00780327">
        <w:rPr>
          <w:b/>
        </w:rPr>
        <w:t>Hakemustiedot</w:t>
      </w:r>
    </w:p>
    <w:p w14:paraId="7CE7412F" w14:textId="390FC22C" w:rsidR="00780327" w:rsidRDefault="00CF6646" w:rsidP="00CF6646">
      <w:r>
        <w:t xml:space="preserve">2.1 </w:t>
      </w:r>
      <w:proofErr w:type="spellStart"/>
      <w:r w:rsidR="00D81DA9">
        <w:t>MiFIR</w:t>
      </w:r>
      <w:proofErr w:type="spellEnd"/>
      <w:r w:rsidR="00D81DA9">
        <w:t xml:space="preserve"> artikla jonka perusteella hakemus tehdään</w:t>
      </w:r>
    </w:p>
    <w:p w14:paraId="35E4054D" w14:textId="4F5EA055" w:rsidR="00AC095B" w:rsidRDefault="00397B03" w:rsidP="00145EB2">
      <w:pPr>
        <w:ind w:left="1304"/>
        <w:rPr>
          <w:lang w:val="sv-SE"/>
        </w:rPr>
      </w:pPr>
      <w:sdt>
        <w:sdtPr>
          <w:rPr>
            <w:lang w:val="sv-SE"/>
          </w:rPr>
          <w:id w:val="62613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DA0" w:rsidRPr="005068F9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950DA0" w:rsidRPr="005068F9">
        <w:rPr>
          <w:lang w:val="sv-SE"/>
        </w:rPr>
        <w:t xml:space="preserve"> </w:t>
      </w:r>
      <w:proofErr w:type="spellStart"/>
      <w:r w:rsidR="00D81DA9" w:rsidRPr="005068F9">
        <w:rPr>
          <w:lang w:val="sv-SE"/>
        </w:rPr>
        <w:t>Artikla</w:t>
      </w:r>
      <w:proofErr w:type="spellEnd"/>
      <w:r w:rsidR="00D81DA9" w:rsidRPr="005068F9">
        <w:rPr>
          <w:lang w:val="sv-SE"/>
        </w:rPr>
        <w:t xml:space="preserve"> 11</w:t>
      </w:r>
      <w:r w:rsidR="00950DA0">
        <w:rPr>
          <w:lang w:val="sv-SE"/>
        </w:rPr>
        <w:t xml:space="preserve"> </w:t>
      </w:r>
      <w:proofErr w:type="gramStart"/>
      <w:r w:rsidR="009C382D">
        <w:rPr>
          <w:lang w:val="sv-SE"/>
        </w:rPr>
        <w:t xml:space="preserve">–  </w:t>
      </w:r>
      <w:proofErr w:type="spellStart"/>
      <w:r w:rsidR="009C382D">
        <w:rPr>
          <w:lang w:val="sv-SE"/>
        </w:rPr>
        <w:t>Kauppapaikan</w:t>
      </w:r>
      <w:proofErr w:type="spellEnd"/>
      <w:proofErr w:type="gramEnd"/>
      <w:r w:rsidR="009C382D">
        <w:rPr>
          <w:lang w:val="sv-SE"/>
        </w:rPr>
        <w:t xml:space="preserve"> non-</w:t>
      </w:r>
      <w:proofErr w:type="spellStart"/>
      <w:r w:rsidR="009C382D">
        <w:rPr>
          <w:lang w:val="sv-SE"/>
        </w:rPr>
        <w:t>equity</w:t>
      </w:r>
      <w:proofErr w:type="spellEnd"/>
      <w:r w:rsidR="009C382D">
        <w:rPr>
          <w:lang w:val="sv-SE"/>
        </w:rPr>
        <w:t xml:space="preserve"> </w:t>
      </w:r>
      <w:proofErr w:type="spellStart"/>
      <w:r w:rsidR="009C382D">
        <w:rPr>
          <w:lang w:val="sv-SE"/>
        </w:rPr>
        <w:t>lykkäyshakemus</w:t>
      </w:r>
      <w:proofErr w:type="spellEnd"/>
      <w:r w:rsidR="009C382D">
        <w:rPr>
          <w:lang w:val="sv-SE"/>
        </w:rPr>
        <w:t xml:space="preserve"> </w:t>
      </w:r>
    </w:p>
    <w:p w14:paraId="07AC260E" w14:textId="4F62AA71" w:rsidR="00AF310E" w:rsidRDefault="00397B03" w:rsidP="00F01D4A">
      <w:pPr>
        <w:spacing w:after="0"/>
        <w:ind w:left="2608"/>
        <w:rPr>
          <w:lang w:val="sv-SE"/>
        </w:rPr>
      </w:pPr>
      <w:sdt>
        <w:sdtPr>
          <w:rPr>
            <w:lang w:val="sv-SE"/>
          </w:rPr>
          <w:id w:val="-185602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35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CC50B9" w:rsidRPr="005068F9">
        <w:rPr>
          <w:lang w:val="sv-SE"/>
        </w:rPr>
        <w:t xml:space="preserve"> </w:t>
      </w:r>
      <w:proofErr w:type="spellStart"/>
      <w:r w:rsidR="00AF310E">
        <w:rPr>
          <w:lang w:val="sv-SE"/>
        </w:rPr>
        <w:t>MiFIR</w:t>
      </w:r>
      <w:proofErr w:type="spellEnd"/>
      <w:r w:rsidR="00AF310E">
        <w:rPr>
          <w:lang w:val="sv-SE"/>
        </w:rPr>
        <w:t xml:space="preserve"> </w:t>
      </w:r>
      <w:proofErr w:type="spellStart"/>
      <w:r w:rsidR="00AF310E">
        <w:rPr>
          <w:lang w:val="sv-SE"/>
        </w:rPr>
        <w:t>artikla</w:t>
      </w:r>
      <w:proofErr w:type="spellEnd"/>
      <w:r w:rsidR="00AF310E">
        <w:rPr>
          <w:lang w:val="sv-SE"/>
        </w:rPr>
        <w:t xml:space="preserve"> 11(1), RTS 2</w:t>
      </w:r>
      <w:r w:rsidR="00950DA0">
        <w:rPr>
          <w:rStyle w:val="FootnoteReference"/>
        </w:rPr>
        <w:footnoteReference w:id="2"/>
      </w:r>
      <w:r w:rsidR="00950DA0" w:rsidRPr="00DF3C04">
        <w:rPr>
          <w:lang w:val="sv-SE"/>
        </w:rPr>
        <w:t xml:space="preserve"> </w:t>
      </w:r>
      <w:proofErr w:type="spellStart"/>
      <w:r w:rsidR="00AF310E">
        <w:rPr>
          <w:lang w:val="sv-SE"/>
        </w:rPr>
        <w:t>artikla</w:t>
      </w:r>
      <w:proofErr w:type="spellEnd"/>
      <w:r w:rsidR="00AF310E">
        <w:rPr>
          <w:lang w:val="sv-SE"/>
        </w:rPr>
        <w:t xml:space="preserve"> 8 </w:t>
      </w:r>
      <w:r w:rsidR="00A10CC6">
        <w:rPr>
          <w:lang w:val="sv-SE"/>
        </w:rPr>
        <w:t>(=</w:t>
      </w:r>
      <w:r w:rsidR="00A74C0A">
        <w:rPr>
          <w:lang w:val="sv-SE"/>
        </w:rPr>
        <w:t xml:space="preserve"> </w:t>
      </w:r>
      <w:proofErr w:type="spellStart"/>
      <w:r w:rsidR="00A74C0A">
        <w:rPr>
          <w:lang w:val="sv-SE"/>
        </w:rPr>
        <w:t>kaikki</w:t>
      </w:r>
      <w:proofErr w:type="spellEnd"/>
      <w:r w:rsidR="00A74C0A">
        <w:rPr>
          <w:lang w:val="sv-SE"/>
        </w:rPr>
        <w:t xml:space="preserve"> </w:t>
      </w:r>
      <w:proofErr w:type="spellStart"/>
      <w:r w:rsidR="00A74C0A">
        <w:rPr>
          <w:lang w:val="sv-SE"/>
        </w:rPr>
        <w:t>tiedot</w:t>
      </w:r>
      <w:proofErr w:type="spellEnd"/>
      <w:r w:rsidR="00A74C0A">
        <w:rPr>
          <w:lang w:val="sv-SE"/>
        </w:rPr>
        <w:t xml:space="preserve"> </w:t>
      </w:r>
      <w:r w:rsidR="00A10CC6">
        <w:rPr>
          <w:lang w:val="sv-SE"/>
        </w:rPr>
        <w:t>T+2)</w:t>
      </w:r>
    </w:p>
    <w:p w14:paraId="43830BB8" w14:textId="7576DC93" w:rsidR="00AF310E" w:rsidRDefault="00397B03" w:rsidP="00532357">
      <w:pPr>
        <w:spacing w:after="0"/>
        <w:ind w:left="2608"/>
        <w:rPr>
          <w:lang w:val="sv-SE"/>
        </w:rPr>
      </w:pPr>
      <w:sdt>
        <w:sdtPr>
          <w:rPr>
            <w:lang w:val="sv-SE"/>
          </w:rPr>
          <w:id w:val="93308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0B9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CC50B9" w:rsidRPr="005068F9">
        <w:rPr>
          <w:lang w:val="sv-SE"/>
        </w:rPr>
        <w:t xml:space="preserve"> </w:t>
      </w:r>
      <w:proofErr w:type="spellStart"/>
      <w:r w:rsidR="00AF310E">
        <w:rPr>
          <w:lang w:val="sv-SE"/>
        </w:rPr>
        <w:t>MiFIR</w:t>
      </w:r>
      <w:proofErr w:type="spellEnd"/>
      <w:r w:rsidR="00AF310E">
        <w:rPr>
          <w:lang w:val="sv-SE"/>
        </w:rPr>
        <w:t xml:space="preserve"> </w:t>
      </w:r>
      <w:proofErr w:type="spellStart"/>
      <w:r w:rsidR="00AF310E">
        <w:rPr>
          <w:lang w:val="sv-SE"/>
        </w:rPr>
        <w:t>artikla</w:t>
      </w:r>
      <w:proofErr w:type="spellEnd"/>
      <w:r w:rsidR="00AF310E">
        <w:rPr>
          <w:lang w:val="sv-SE"/>
        </w:rPr>
        <w:t xml:space="preserve"> 11(3)(b), RTS 2 </w:t>
      </w:r>
      <w:proofErr w:type="spellStart"/>
      <w:r w:rsidR="00AF310E">
        <w:rPr>
          <w:lang w:val="sv-SE"/>
        </w:rPr>
        <w:t>artikla</w:t>
      </w:r>
      <w:proofErr w:type="spellEnd"/>
      <w:r w:rsidR="00AF310E">
        <w:rPr>
          <w:lang w:val="sv-SE"/>
        </w:rPr>
        <w:t xml:space="preserve"> 11(1)(b)</w:t>
      </w:r>
      <w:r w:rsidR="00A10CC6">
        <w:rPr>
          <w:lang w:val="sv-SE"/>
        </w:rPr>
        <w:t xml:space="preserve"> (=</w:t>
      </w:r>
      <w:r w:rsidR="00A74C0A">
        <w:rPr>
          <w:lang w:val="sv-SE"/>
        </w:rPr>
        <w:t xml:space="preserve"> </w:t>
      </w:r>
      <w:proofErr w:type="spellStart"/>
      <w:r w:rsidR="00A74C0A">
        <w:rPr>
          <w:lang w:val="sv-SE"/>
        </w:rPr>
        <w:t>kaikki</w:t>
      </w:r>
      <w:proofErr w:type="spellEnd"/>
      <w:r w:rsidR="00A74C0A">
        <w:rPr>
          <w:lang w:val="sv-SE"/>
        </w:rPr>
        <w:t xml:space="preserve"> </w:t>
      </w:r>
      <w:proofErr w:type="spellStart"/>
      <w:r w:rsidR="00A74C0A">
        <w:rPr>
          <w:lang w:val="sv-SE"/>
        </w:rPr>
        <w:t>tiedot</w:t>
      </w:r>
      <w:proofErr w:type="spellEnd"/>
      <w:r w:rsidR="00A74C0A">
        <w:rPr>
          <w:lang w:val="sv-SE"/>
        </w:rPr>
        <w:t xml:space="preserve"> </w:t>
      </w:r>
      <w:proofErr w:type="spellStart"/>
      <w:r w:rsidR="00A74C0A">
        <w:rPr>
          <w:lang w:val="sv-SE"/>
        </w:rPr>
        <w:t>paitsi</w:t>
      </w:r>
      <w:proofErr w:type="spellEnd"/>
      <w:r w:rsidR="00A74C0A">
        <w:rPr>
          <w:lang w:val="sv-SE"/>
        </w:rPr>
        <w:t xml:space="preserve"> </w:t>
      </w:r>
      <w:proofErr w:type="spellStart"/>
      <w:r w:rsidR="00A74C0A">
        <w:rPr>
          <w:lang w:val="sv-SE"/>
        </w:rPr>
        <w:t>kaupan</w:t>
      </w:r>
      <w:proofErr w:type="spellEnd"/>
      <w:r w:rsidR="00A74C0A">
        <w:rPr>
          <w:lang w:val="sv-SE"/>
        </w:rPr>
        <w:t xml:space="preserve"> </w:t>
      </w:r>
      <w:proofErr w:type="spellStart"/>
      <w:r w:rsidR="00A74C0A">
        <w:rPr>
          <w:lang w:val="sv-SE"/>
        </w:rPr>
        <w:t>volyymitieto</w:t>
      </w:r>
      <w:proofErr w:type="spellEnd"/>
      <w:r w:rsidR="00A74C0A">
        <w:rPr>
          <w:lang w:val="sv-SE"/>
        </w:rPr>
        <w:t xml:space="preserve"> </w:t>
      </w:r>
      <w:r w:rsidR="00A10CC6">
        <w:rPr>
          <w:lang w:val="sv-SE"/>
        </w:rPr>
        <w:t xml:space="preserve">T+2 ja </w:t>
      </w:r>
      <w:proofErr w:type="spellStart"/>
      <w:r w:rsidR="00A74C0A">
        <w:rPr>
          <w:lang w:val="sv-SE"/>
        </w:rPr>
        <w:t>volyymitieto</w:t>
      </w:r>
      <w:proofErr w:type="spellEnd"/>
      <w:r w:rsidR="00A74C0A">
        <w:rPr>
          <w:lang w:val="sv-SE"/>
        </w:rPr>
        <w:t xml:space="preserve"> </w:t>
      </w:r>
      <w:r w:rsidR="00A10CC6">
        <w:rPr>
          <w:lang w:val="sv-SE"/>
        </w:rPr>
        <w:t xml:space="preserve">4 </w:t>
      </w:r>
      <w:proofErr w:type="spellStart"/>
      <w:r w:rsidR="00A10CC6">
        <w:rPr>
          <w:lang w:val="sv-SE"/>
        </w:rPr>
        <w:t>viik</w:t>
      </w:r>
      <w:r w:rsidR="00A74C0A">
        <w:rPr>
          <w:lang w:val="sv-SE"/>
        </w:rPr>
        <w:t>on</w:t>
      </w:r>
      <w:proofErr w:type="spellEnd"/>
      <w:r w:rsidR="00A74C0A">
        <w:rPr>
          <w:lang w:val="sv-SE"/>
        </w:rPr>
        <w:t xml:space="preserve"> </w:t>
      </w:r>
      <w:proofErr w:type="spellStart"/>
      <w:r w:rsidR="00A74C0A">
        <w:rPr>
          <w:lang w:val="sv-SE"/>
        </w:rPr>
        <w:t>jälkeen</w:t>
      </w:r>
      <w:proofErr w:type="spellEnd"/>
      <w:r w:rsidR="00A10CC6">
        <w:rPr>
          <w:lang w:val="sv-SE"/>
        </w:rPr>
        <w:t>)</w:t>
      </w:r>
    </w:p>
    <w:p w14:paraId="7F739D53" w14:textId="77777777" w:rsidR="0063716E" w:rsidRDefault="0063716E" w:rsidP="00532357">
      <w:pPr>
        <w:spacing w:after="0"/>
        <w:ind w:left="2608"/>
        <w:rPr>
          <w:lang w:val="sv-SE"/>
        </w:rPr>
      </w:pPr>
    </w:p>
    <w:p w14:paraId="1F846FCC" w14:textId="1CCE1AFC" w:rsidR="00EB2824" w:rsidRDefault="00397B03" w:rsidP="00EB2824">
      <w:pPr>
        <w:spacing w:after="0"/>
        <w:ind w:left="2608"/>
        <w:rPr>
          <w:lang w:val="sv-SE"/>
        </w:rPr>
      </w:pPr>
      <w:sdt>
        <w:sdtPr>
          <w:rPr>
            <w:lang w:val="sv-SE"/>
          </w:rPr>
          <w:id w:val="807750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824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B2824" w:rsidRPr="005068F9">
        <w:rPr>
          <w:lang w:val="sv-SE"/>
        </w:rPr>
        <w:t xml:space="preserve"> </w:t>
      </w:r>
      <w:proofErr w:type="spellStart"/>
      <w:r w:rsidR="00EB2824">
        <w:rPr>
          <w:lang w:val="sv-SE"/>
        </w:rPr>
        <w:t>Muu</w:t>
      </w:r>
      <w:proofErr w:type="spellEnd"/>
      <w:r w:rsidR="00EB2824">
        <w:rPr>
          <w:lang w:val="sv-SE"/>
        </w:rPr>
        <w:t xml:space="preserve"> </w:t>
      </w:r>
      <w:proofErr w:type="spellStart"/>
      <w:r w:rsidR="00EB2824">
        <w:rPr>
          <w:lang w:val="sv-SE"/>
        </w:rPr>
        <w:t>lykkäys</w:t>
      </w:r>
      <w:proofErr w:type="spellEnd"/>
      <w:r w:rsidR="00EB2824">
        <w:rPr>
          <w:lang w:val="sv-SE"/>
        </w:rPr>
        <w:t xml:space="preserve"> </w:t>
      </w:r>
      <w:proofErr w:type="spellStart"/>
      <w:r w:rsidR="00EB2824">
        <w:rPr>
          <w:lang w:val="sv-SE"/>
        </w:rPr>
        <w:t>kuin</w:t>
      </w:r>
      <w:proofErr w:type="spellEnd"/>
      <w:r w:rsidR="00EB2824">
        <w:rPr>
          <w:lang w:val="sv-SE"/>
        </w:rPr>
        <w:t xml:space="preserve"> </w:t>
      </w:r>
      <w:proofErr w:type="spellStart"/>
      <w:r w:rsidR="00EB2824">
        <w:rPr>
          <w:lang w:val="sv-SE"/>
        </w:rPr>
        <w:t>yllämainitut</w:t>
      </w:r>
      <w:proofErr w:type="spellEnd"/>
    </w:p>
    <w:p w14:paraId="29EDEEA5" w14:textId="6B52DCD8" w:rsidR="00EB2824" w:rsidRDefault="00EB2824" w:rsidP="00EB2824">
      <w:pPr>
        <w:spacing w:after="0"/>
        <w:ind w:left="2608"/>
        <w:rPr>
          <w:lang w:val="sv-SE"/>
        </w:rPr>
      </w:pPr>
      <w:proofErr w:type="spellStart"/>
      <w:r>
        <w:rPr>
          <w:lang w:val="sv-SE"/>
        </w:rPr>
        <w:t>Hakijan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tulee</w:t>
      </w:r>
      <w:proofErr w:type="spellEnd"/>
      <w:r>
        <w:rPr>
          <w:lang w:val="sv-SE"/>
        </w:rPr>
        <w:t xml:space="preserve"> </w:t>
      </w:r>
      <w:proofErr w:type="spellStart"/>
      <w:r w:rsidR="000A4B50">
        <w:rPr>
          <w:lang w:val="sv-SE"/>
        </w:rPr>
        <w:t>muun</w:t>
      </w:r>
      <w:proofErr w:type="spellEnd"/>
      <w:r w:rsidR="000A4B50">
        <w:rPr>
          <w:lang w:val="sv-SE"/>
        </w:rPr>
        <w:t xml:space="preserve"> </w:t>
      </w:r>
      <w:proofErr w:type="spellStart"/>
      <w:r w:rsidR="000A4B50">
        <w:rPr>
          <w:lang w:val="sv-SE"/>
        </w:rPr>
        <w:t>lykkäyksen</w:t>
      </w:r>
      <w:proofErr w:type="spellEnd"/>
      <w:r w:rsidR="000A4B50">
        <w:rPr>
          <w:lang w:val="sv-SE"/>
        </w:rPr>
        <w:t xml:space="preserve"> </w:t>
      </w:r>
      <w:proofErr w:type="spellStart"/>
      <w:r w:rsidR="000A4B50">
        <w:rPr>
          <w:lang w:val="sv-SE"/>
        </w:rPr>
        <w:t>tapauksessa</w:t>
      </w:r>
      <w:proofErr w:type="spellEnd"/>
      <w:r w:rsidR="000A4B50">
        <w:rPr>
          <w:lang w:val="sv-SE"/>
        </w:rPr>
        <w:t xml:space="preserve"> </w:t>
      </w:r>
      <w:proofErr w:type="spellStart"/>
      <w:r w:rsidR="00B578EA">
        <w:rPr>
          <w:lang w:val="sv-SE"/>
        </w:rPr>
        <w:t>perustella</w:t>
      </w:r>
      <w:proofErr w:type="spellEnd"/>
      <w:r w:rsidR="00B578EA">
        <w:rPr>
          <w:lang w:val="sv-SE"/>
        </w:rPr>
        <w:t xml:space="preserve"> </w:t>
      </w:r>
      <w:proofErr w:type="spellStart"/>
      <w:r w:rsidR="00B578EA">
        <w:rPr>
          <w:lang w:val="sv-SE"/>
        </w:rPr>
        <w:t>lykkäyksen</w:t>
      </w:r>
      <w:proofErr w:type="spellEnd"/>
      <w:r w:rsidR="00B578EA">
        <w:rPr>
          <w:lang w:val="sv-SE"/>
        </w:rPr>
        <w:t xml:space="preserve"> tarvetta </w:t>
      </w:r>
      <w:proofErr w:type="spellStart"/>
      <w:r w:rsidR="00175611">
        <w:rPr>
          <w:lang w:val="sv-SE"/>
        </w:rPr>
        <w:t>liiketoimin</w:t>
      </w:r>
      <w:r w:rsidR="00B578EA">
        <w:rPr>
          <w:lang w:val="sv-SE"/>
        </w:rPr>
        <w:t>n</w:t>
      </w:r>
      <w:r w:rsidR="00175611">
        <w:rPr>
          <w:lang w:val="sv-SE"/>
        </w:rPr>
        <w:t>an</w:t>
      </w:r>
      <w:proofErr w:type="spellEnd"/>
      <w:r w:rsidR="00175611">
        <w:rPr>
          <w:lang w:val="sv-SE"/>
        </w:rPr>
        <w:t xml:space="preserve"> ja </w:t>
      </w:r>
      <w:proofErr w:type="spellStart"/>
      <w:r w:rsidR="00175611">
        <w:rPr>
          <w:lang w:val="sv-SE"/>
        </w:rPr>
        <w:t>markkinoiden</w:t>
      </w:r>
      <w:proofErr w:type="spellEnd"/>
      <w:r w:rsidR="00175611">
        <w:rPr>
          <w:lang w:val="sv-SE"/>
        </w:rPr>
        <w:t xml:space="preserve"> </w:t>
      </w:r>
      <w:proofErr w:type="spellStart"/>
      <w:r w:rsidR="00175611">
        <w:rPr>
          <w:lang w:val="sv-SE"/>
        </w:rPr>
        <w:t>toiminnan</w:t>
      </w:r>
      <w:proofErr w:type="spellEnd"/>
      <w:r w:rsidR="00175611">
        <w:rPr>
          <w:lang w:val="sv-SE"/>
        </w:rPr>
        <w:t xml:space="preserve"> </w:t>
      </w:r>
      <w:proofErr w:type="spellStart"/>
      <w:r w:rsidR="00175611">
        <w:rPr>
          <w:lang w:val="sv-SE"/>
        </w:rPr>
        <w:t>näkökulmasta</w:t>
      </w:r>
      <w:proofErr w:type="spellEnd"/>
      <w:r>
        <w:rPr>
          <w:lang w:val="sv-SE"/>
        </w:rPr>
        <w:t xml:space="preserve"> ja </w:t>
      </w:r>
      <w:proofErr w:type="spellStart"/>
      <w:r>
        <w:rPr>
          <w:lang w:val="sv-SE"/>
        </w:rPr>
        <w:t>yksilöidä</w:t>
      </w:r>
      <w:proofErr w:type="spellEnd"/>
      <w:r>
        <w:rPr>
          <w:lang w:val="sv-SE"/>
        </w:rPr>
        <w:t xml:space="preserve"> </w:t>
      </w:r>
      <w:proofErr w:type="spellStart"/>
      <w:r w:rsidR="000A4B50">
        <w:rPr>
          <w:lang w:val="sv-SE"/>
        </w:rPr>
        <w:t>MiFIR</w:t>
      </w:r>
      <w:proofErr w:type="spellEnd"/>
      <w:r w:rsidR="000A4B50">
        <w:rPr>
          <w:lang w:val="sv-SE"/>
        </w:rPr>
        <w:t xml:space="preserve"> ja RTS 2 </w:t>
      </w:r>
      <w:proofErr w:type="spellStart"/>
      <w:r w:rsidR="000A4B50">
        <w:rPr>
          <w:lang w:val="sv-SE"/>
        </w:rPr>
        <w:t>asetusten</w:t>
      </w:r>
      <w:proofErr w:type="spellEnd"/>
      <w:r w:rsidR="000A4B50">
        <w:rPr>
          <w:lang w:val="sv-SE"/>
        </w:rPr>
        <w:t xml:space="preserve"> </w:t>
      </w:r>
      <w:proofErr w:type="spellStart"/>
      <w:r w:rsidR="000A4B50">
        <w:rPr>
          <w:lang w:val="sv-SE"/>
        </w:rPr>
        <w:t>artiklat</w:t>
      </w:r>
      <w:proofErr w:type="spellEnd"/>
      <w:r w:rsidR="000A4B50">
        <w:rPr>
          <w:lang w:val="sv-SE"/>
        </w:rPr>
        <w:t xml:space="preserve">, </w:t>
      </w:r>
      <w:proofErr w:type="spellStart"/>
      <w:r w:rsidR="000A4B50">
        <w:rPr>
          <w:lang w:val="sv-SE"/>
        </w:rPr>
        <w:t>joita</w:t>
      </w:r>
      <w:proofErr w:type="spellEnd"/>
      <w:r w:rsidR="000A4B50">
        <w:rPr>
          <w:lang w:val="sv-SE"/>
        </w:rPr>
        <w:t xml:space="preserve"> </w:t>
      </w:r>
      <w:proofErr w:type="spellStart"/>
      <w:r w:rsidR="000A4B50">
        <w:rPr>
          <w:lang w:val="sv-SE"/>
        </w:rPr>
        <w:t>hakija</w:t>
      </w:r>
      <w:proofErr w:type="spellEnd"/>
      <w:r w:rsidR="000A4B50">
        <w:rPr>
          <w:lang w:val="sv-SE"/>
        </w:rPr>
        <w:t xml:space="preserve"> </w:t>
      </w:r>
      <w:proofErr w:type="spellStart"/>
      <w:r w:rsidR="000A4B50">
        <w:rPr>
          <w:lang w:val="sv-SE"/>
        </w:rPr>
        <w:t>haluaa</w:t>
      </w:r>
      <w:proofErr w:type="spellEnd"/>
      <w:r w:rsidR="000A4B50">
        <w:rPr>
          <w:lang w:val="sv-SE"/>
        </w:rPr>
        <w:t xml:space="preserve"> </w:t>
      </w:r>
      <w:proofErr w:type="spellStart"/>
      <w:r w:rsidR="000A4B50">
        <w:rPr>
          <w:lang w:val="sv-SE"/>
        </w:rPr>
        <w:t>soveltaa</w:t>
      </w:r>
      <w:proofErr w:type="spellEnd"/>
      <w:r>
        <w:rPr>
          <w:lang w:val="sv-SE"/>
        </w:rPr>
        <w:t>.</w:t>
      </w:r>
    </w:p>
    <w:tbl>
      <w:tblPr>
        <w:tblStyle w:val="TableGrid"/>
        <w:tblW w:w="0" w:type="auto"/>
        <w:tblInd w:w="2608" w:type="dxa"/>
        <w:tblLook w:val="04A0" w:firstRow="1" w:lastRow="0" w:firstColumn="1" w:lastColumn="0" w:noHBand="0" w:noVBand="1"/>
      </w:tblPr>
      <w:tblGrid>
        <w:gridCol w:w="7020"/>
      </w:tblGrid>
      <w:tr w:rsidR="00EB2824" w14:paraId="76286FC6" w14:textId="77777777" w:rsidTr="00EB2824">
        <w:tc>
          <w:tcPr>
            <w:tcW w:w="9628" w:type="dxa"/>
          </w:tcPr>
          <w:p w14:paraId="538A27DF" w14:textId="77777777" w:rsidR="00EB2824" w:rsidRDefault="00EB2824" w:rsidP="00EB2824">
            <w:pPr>
              <w:rPr>
                <w:lang w:val="sv-SE"/>
              </w:rPr>
            </w:pPr>
          </w:p>
        </w:tc>
      </w:tr>
    </w:tbl>
    <w:p w14:paraId="0CF7F5CA" w14:textId="77777777" w:rsidR="00A10CC6" w:rsidRDefault="00A10CC6" w:rsidP="000A4B50">
      <w:pPr>
        <w:spacing w:after="0"/>
        <w:rPr>
          <w:lang w:val="sv-SE"/>
        </w:rPr>
      </w:pPr>
    </w:p>
    <w:p w14:paraId="144CA09F" w14:textId="2DE8959F" w:rsidR="00D81DA9" w:rsidRPr="00DF3C04" w:rsidRDefault="00397B03" w:rsidP="00145EB2">
      <w:pPr>
        <w:ind w:left="1304"/>
      </w:pPr>
      <w:sdt>
        <w:sdtPr>
          <w:id w:val="-83368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CC6">
            <w:rPr>
              <w:rFonts w:ascii="MS Gothic" w:eastAsia="MS Gothic" w:hAnsi="MS Gothic" w:hint="eastAsia"/>
            </w:rPr>
            <w:t>☐</w:t>
          </w:r>
        </w:sdtContent>
      </w:sdt>
      <w:r w:rsidR="00DB3603" w:rsidRPr="00DF3C04">
        <w:t xml:space="preserve"> </w:t>
      </w:r>
      <w:r w:rsidR="00D81DA9" w:rsidRPr="00DF3C04">
        <w:t>Artikla 18.2</w:t>
      </w:r>
      <w:r w:rsidR="009C382D">
        <w:t xml:space="preserve"> </w:t>
      </w:r>
      <w:r w:rsidR="009C382D">
        <w:rPr>
          <w:lang w:val="sv-SE"/>
        </w:rPr>
        <w:t>–</w:t>
      </w:r>
      <w:r w:rsidR="009C382D">
        <w:t xml:space="preserve"> </w:t>
      </w:r>
      <w:r w:rsidR="00F868E6">
        <w:t xml:space="preserve">Kauppojen sisäisen toteuttajan (SI) </w:t>
      </w:r>
      <w:proofErr w:type="spellStart"/>
      <w:r w:rsidR="009C382D">
        <w:t>non-equity</w:t>
      </w:r>
      <w:proofErr w:type="spellEnd"/>
      <w:r w:rsidR="009C382D">
        <w:t xml:space="preserve"> vapautushakemus</w:t>
      </w:r>
    </w:p>
    <w:p w14:paraId="5ABAA510" w14:textId="1F9D1057" w:rsidR="00D81DA9" w:rsidRPr="00DF3C04" w:rsidRDefault="00397B03" w:rsidP="00145EB2">
      <w:pPr>
        <w:ind w:left="1304"/>
      </w:pPr>
      <w:sdt>
        <w:sdtPr>
          <w:id w:val="187165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2EE">
            <w:rPr>
              <w:rFonts w:ascii="MS Gothic" w:eastAsia="MS Gothic" w:hAnsi="MS Gothic" w:hint="eastAsia"/>
            </w:rPr>
            <w:t>☐</w:t>
          </w:r>
        </w:sdtContent>
      </w:sdt>
      <w:r w:rsidR="00DB3603" w:rsidRPr="00DF3C04">
        <w:t xml:space="preserve"> </w:t>
      </w:r>
      <w:r w:rsidR="00D81DA9" w:rsidRPr="00DF3C04">
        <w:t>Artikla</w:t>
      </w:r>
      <w:r w:rsidR="00A10CC6">
        <w:t>n</w:t>
      </w:r>
      <w:r w:rsidR="00D81DA9" w:rsidRPr="00DF3C04">
        <w:t xml:space="preserve"> 21.4 ens</w:t>
      </w:r>
      <w:r w:rsidR="006F63F8" w:rsidRPr="00DF3C04">
        <w:t>immäinen</w:t>
      </w:r>
      <w:r w:rsidR="00D81DA9" w:rsidRPr="00DF3C04">
        <w:t xml:space="preserve"> k</w:t>
      </w:r>
      <w:r w:rsidR="003A511F" w:rsidRPr="00DF3C04">
        <w:t>ohta</w:t>
      </w:r>
      <w:r w:rsidR="00950DA0" w:rsidRPr="00DF3C04">
        <w:t xml:space="preserve"> </w:t>
      </w:r>
      <w:r w:rsidR="009C382D">
        <w:rPr>
          <w:lang w:val="sv-SE"/>
        </w:rPr>
        <w:t xml:space="preserve">– </w:t>
      </w:r>
      <w:proofErr w:type="spellStart"/>
      <w:r w:rsidR="009C382D">
        <w:rPr>
          <w:lang w:val="sv-SE"/>
        </w:rPr>
        <w:t>Sijoituspalveluyrityksen</w:t>
      </w:r>
      <w:proofErr w:type="spellEnd"/>
      <w:r w:rsidR="009C382D">
        <w:rPr>
          <w:lang w:val="sv-SE"/>
        </w:rPr>
        <w:t xml:space="preserve"> non-</w:t>
      </w:r>
      <w:proofErr w:type="spellStart"/>
      <w:r w:rsidR="009C382D">
        <w:rPr>
          <w:lang w:val="sv-SE"/>
        </w:rPr>
        <w:t>equity</w:t>
      </w:r>
      <w:proofErr w:type="spellEnd"/>
      <w:r w:rsidR="009C382D">
        <w:rPr>
          <w:lang w:val="sv-SE"/>
        </w:rPr>
        <w:t xml:space="preserve"> </w:t>
      </w:r>
      <w:proofErr w:type="spellStart"/>
      <w:r w:rsidR="009C382D">
        <w:rPr>
          <w:lang w:val="sv-SE"/>
        </w:rPr>
        <w:t>lykkäyshakemus</w:t>
      </w:r>
      <w:proofErr w:type="spellEnd"/>
      <w:r w:rsidR="009C382D">
        <w:rPr>
          <w:lang w:val="sv-SE"/>
        </w:rPr>
        <w:t xml:space="preserve"> </w:t>
      </w:r>
    </w:p>
    <w:p w14:paraId="455B4495" w14:textId="6BF8E61D" w:rsidR="00950DA0" w:rsidRDefault="00397B03" w:rsidP="00532357">
      <w:pPr>
        <w:spacing w:after="0"/>
        <w:ind w:left="2608"/>
        <w:rPr>
          <w:lang w:val="sv-SE"/>
        </w:rPr>
      </w:pPr>
      <w:sdt>
        <w:sdtPr>
          <w:rPr>
            <w:lang w:val="sv-SE"/>
          </w:rPr>
          <w:id w:val="-175411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35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950DA0" w:rsidRPr="005068F9">
        <w:rPr>
          <w:lang w:val="sv-SE"/>
        </w:rPr>
        <w:t xml:space="preserve"> </w:t>
      </w:r>
      <w:proofErr w:type="spellStart"/>
      <w:r w:rsidR="00950DA0">
        <w:rPr>
          <w:lang w:val="sv-SE"/>
        </w:rPr>
        <w:t>MiFIR</w:t>
      </w:r>
      <w:proofErr w:type="spellEnd"/>
      <w:r w:rsidR="00950DA0">
        <w:rPr>
          <w:lang w:val="sv-SE"/>
        </w:rPr>
        <w:t xml:space="preserve"> </w:t>
      </w:r>
      <w:proofErr w:type="spellStart"/>
      <w:r w:rsidR="00950DA0">
        <w:rPr>
          <w:lang w:val="sv-SE"/>
        </w:rPr>
        <w:t>artikla</w:t>
      </w:r>
      <w:proofErr w:type="spellEnd"/>
      <w:r w:rsidR="00950DA0">
        <w:rPr>
          <w:lang w:val="sv-SE"/>
        </w:rPr>
        <w:t xml:space="preserve"> 11(1), RTS 2 </w:t>
      </w:r>
      <w:proofErr w:type="spellStart"/>
      <w:r w:rsidR="00950DA0">
        <w:rPr>
          <w:lang w:val="sv-SE"/>
        </w:rPr>
        <w:t>artikla</w:t>
      </w:r>
      <w:proofErr w:type="spellEnd"/>
      <w:r w:rsidR="00950DA0">
        <w:rPr>
          <w:lang w:val="sv-SE"/>
        </w:rPr>
        <w:t xml:space="preserve"> 8 </w:t>
      </w:r>
      <w:r w:rsidR="00F01D4A">
        <w:rPr>
          <w:lang w:val="sv-SE"/>
        </w:rPr>
        <w:t>(=</w:t>
      </w:r>
      <w:r w:rsidR="00A74C0A">
        <w:rPr>
          <w:lang w:val="sv-SE"/>
        </w:rPr>
        <w:t xml:space="preserve"> </w:t>
      </w:r>
      <w:proofErr w:type="spellStart"/>
      <w:r w:rsidR="00A74C0A">
        <w:rPr>
          <w:lang w:val="sv-SE"/>
        </w:rPr>
        <w:t>kaikki</w:t>
      </w:r>
      <w:proofErr w:type="spellEnd"/>
      <w:r w:rsidR="00A74C0A">
        <w:rPr>
          <w:lang w:val="sv-SE"/>
        </w:rPr>
        <w:t xml:space="preserve"> </w:t>
      </w:r>
      <w:proofErr w:type="spellStart"/>
      <w:r w:rsidR="00A74C0A">
        <w:rPr>
          <w:lang w:val="sv-SE"/>
        </w:rPr>
        <w:t>tiedot</w:t>
      </w:r>
      <w:proofErr w:type="spellEnd"/>
      <w:r w:rsidR="00A74C0A">
        <w:rPr>
          <w:lang w:val="sv-SE"/>
        </w:rPr>
        <w:t xml:space="preserve"> </w:t>
      </w:r>
      <w:r w:rsidR="00F01D4A">
        <w:rPr>
          <w:lang w:val="sv-SE"/>
        </w:rPr>
        <w:t>T+2)</w:t>
      </w:r>
    </w:p>
    <w:p w14:paraId="49E7FCCC" w14:textId="178E3660" w:rsidR="00950DA0" w:rsidRDefault="00397B03" w:rsidP="00532357">
      <w:pPr>
        <w:spacing w:after="0"/>
        <w:ind w:left="2608"/>
        <w:rPr>
          <w:lang w:val="sv-SE"/>
        </w:rPr>
      </w:pPr>
      <w:sdt>
        <w:sdtPr>
          <w:rPr>
            <w:lang w:val="sv-SE"/>
          </w:rPr>
          <w:id w:val="-194706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DA0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950DA0" w:rsidRPr="005068F9">
        <w:rPr>
          <w:lang w:val="sv-SE"/>
        </w:rPr>
        <w:t xml:space="preserve"> </w:t>
      </w:r>
      <w:proofErr w:type="spellStart"/>
      <w:r w:rsidR="00950DA0">
        <w:rPr>
          <w:lang w:val="sv-SE"/>
        </w:rPr>
        <w:t>MiFIR</w:t>
      </w:r>
      <w:proofErr w:type="spellEnd"/>
      <w:r w:rsidR="00950DA0">
        <w:rPr>
          <w:lang w:val="sv-SE"/>
        </w:rPr>
        <w:t xml:space="preserve"> </w:t>
      </w:r>
      <w:proofErr w:type="spellStart"/>
      <w:r w:rsidR="00950DA0">
        <w:rPr>
          <w:lang w:val="sv-SE"/>
        </w:rPr>
        <w:t>artikla</w:t>
      </w:r>
      <w:proofErr w:type="spellEnd"/>
      <w:r w:rsidR="00950DA0">
        <w:rPr>
          <w:lang w:val="sv-SE"/>
        </w:rPr>
        <w:t xml:space="preserve"> 11(3)(b), RTS 2 </w:t>
      </w:r>
      <w:proofErr w:type="spellStart"/>
      <w:r w:rsidR="00950DA0">
        <w:rPr>
          <w:lang w:val="sv-SE"/>
        </w:rPr>
        <w:t>artikla</w:t>
      </w:r>
      <w:proofErr w:type="spellEnd"/>
      <w:r w:rsidR="00950DA0">
        <w:rPr>
          <w:lang w:val="sv-SE"/>
        </w:rPr>
        <w:t xml:space="preserve"> 11(1)(b)</w:t>
      </w:r>
      <w:r w:rsidR="00F01D4A">
        <w:rPr>
          <w:lang w:val="sv-SE"/>
        </w:rPr>
        <w:t xml:space="preserve"> (=</w:t>
      </w:r>
      <w:r w:rsidR="00A74C0A">
        <w:rPr>
          <w:lang w:val="sv-SE"/>
        </w:rPr>
        <w:t xml:space="preserve"> </w:t>
      </w:r>
      <w:proofErr w:type="spellStart"/>
      <w:r w:rsidR="00A74C0A">
        <w:rPr>
          <w:lang w:val="sv-SE"/>
        </w:rPr>
        <w:t>kaikki</w:t>
      </w:r>
      <w:proofErr w:type="spellEnd"/>
      <w:r w:rsidR="00A74C0A">
        <w:rPr>
          <w:lang w:val="sv-SE"/>
        </w:rPr>
        <w:t xml:space="preserve"> </w:t>
      </w:r>
      <w:proofErr w:type="spellStart"/>
      <w:r w:rsidR="00A74C0A">
        <w:rPr>
          <w:lang w:val="sv-SE"/>
        </w:rPr>
        <w:t>tiedot</w:t>
      </w:r>
      <w:proofErr w:type="spellEnd"/>
      <w:r w:rsidR="00A74C0A">
        <w:rPr>
          <w:lang w:val="sv-SE"/>
        </w:rPr>
        <w:t xml:space="preserve"> </w:t>
      </w:r>
      <w:proofErr w:type="spellStart"/>
      <w:r w:rsidR="00A74C0A">
        <w:rPr>
          <w:lang w:val="sv-SE"/>
        </w:rPr>
        <w:t>paitsi</w:t>
      </w:r>
      <w:proofErr w:type="spellEnd"/>
      <w:r w:rsidR="00A74C0A">
        <w:rPr>
          <w:lang w:val="sv-SE"/>
        </w:rPr>
        <w:t xml:space="preserve"> </w:t>
      </w:r>
      <w:proofErr w:type="spellStart"/>
      <w:r w:rsidR="00A74C0A">
        <w:rPr>
          <w:lang w:val="sv-SE"/>
        </w:rPr>
        <w:t>kaupan</w:t>
      </w:r>
      <w:proofErr w:type="spellEnd"/>
      <w:r w:rsidR="00A74C0A">
        <w:rPr>
          <w:lang w:val="sv-SE"/>
        </w:rPr>
        <w:t xml:space="preserve"> </w:t>
      </w:r>
      <w:proofErr w:type="spellStart"/>
      <w:r w:rsidR="00A74C0A">
        <w:rPr>
          <w:lang w:val="sv-SE"/>
        </w:rPr>
        <w:t>volyymitieto</w:t>
      </w:r>
      <w:proofErr w:type="spellEnd"/>
      <w:r w:rsidR="00A74C0A">
        <w:rPr>
          <w:lang w:val="sv-SE"/>
        </w:rPr>
        <w:t xml:space="preserve"> </w:t>
      </w:r>
      <w:r w:rsidR="00F01D4A">
        <w:rPr>
          <w:lang w:val="sv-SE"/>
        </w:rPr>
        <w:t xml:space="preserve">T+2 ja </w:t>
      </w:r>
      <w:proofErr w:type="spellStart"/>
      <w:r w:rsidR="00A74C0A">
        <w:rPr>
          <w:lang w:val="sv-SE"/>
        </w:rPr>
        <w:t>volyymit</w:t>
      </w:r>
      <w:r w:rsidR="00FE7D3A">
        <w:rPr>
          <w:lang w:val="sv-SE"/>
        </w:rPr>
        <w:t>ieto</w:t>
      </w:r>
      <w:proofErr w:type="spellEnd"/>
      <w:r w:rsidR="00FE7D3A">
        <w:rPr>
          <w:lang w:val="sv-SE"/>
        </w:rPr>
        <w:t xml:space="preserve"> </w:t>
      </w:r>
      <w:r w:rsidR="00F01D4A">
        <w:rPr>
          <w:lang w:val="sv-SE"/>
        </w:rPr>
        <w:t xml:space="preserve">4 </w:t>
      </w:r>
      <w:proofErr w:type="spellStart"/>
      <w:r w:rsidR="00F01D4A">
        <w:rPr>
          <w:lang w:val="sv-SE"/>
        </w:rPr>
        <w:t>viik</w:t>
      </w:r>
      <w:r w:rsidR="00FE7D3A">
        <w:rPr>
          <w:lang w:val="sv-SE"/>
        </w:rPr>
        <w:t>on</w:t>
      </w:r>
      <w:proofErr w:type="spellEnd"/>
      <w:r w:rsidR="00FE7D3A">
        <w:rPr>
          <w:lang w:val="sv-SE"/>
        </w:rPr>
        <w:t xml:space="preserve"> </w:t>
      </w:r>
      <w:proofErr w:type="spellStart"/>
      <w:r w:rsidR="00FE7D3A">
        <w:rPr>
          <w:lang w:val="sv-SE"/>
        </w:rPr>
        <w:t>jälkeen</w:t>
      </w:r>
      <w:proofErr w:type="spellEnd"/>
      <w:r w:rsidR="00F01D4A">
        <w:rPr>
          <w:lang w:val="sv-SE"/>
        </w:rPr>
        <w:t>)</w:t>
      </w:r>
    </w:p>
    <w:p w14:paraId="4037557E" w14:textId="77777777" w:rsidR="0063716E" w:rsidRDefault="0063716E" w:rsidP="00532357">
      <w:pPr>
        <w:spacing w:after="0"/>
        <w:ind w:left="2608"/>
        <w:rPr>
          <w:lang w:val="sv-SE"/>
        </w:rPr>
      </w:pPr>
    </w:p>
    <w:p w14:paraId="4FAD4550" w14:textId="77777777" w:rsidR="000A4B50" w:rsidRDefault="00397B03" w:rsidP="000A4B50">
      <w:pPr>
        <w:spacing w:after="0"/>
        <w:ind w:left="2608"/>
        <w:rPr>
          <w:lang w:val="sv-SE"/>
        </w:rPr>
      </w:pPr>
      <w:sdt>
        <w:sdtPr>
          <w:rPr>
            <w:lang w:val="sv-SE"/>
          </w:rPr>
          <w:id w:val="-38194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B50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0A4B50" w:rsidRPr="005068F9">
        <w:rPr>
          <w:lang w:val="sv-SE"/>
        </w:rPr>
        <w:t xml:space="preserve"> </w:t>
      </w:r>
      <w:proofErr w:type="spellStart"/>
      <w:r w:rsidR="000A4B50">
        <w:rPr>
          <w:lang w:val="sv-SE"/>
        </w:rPr>
        <w:t>Muu</w:t>
      </w:r>
      <w:proofErr w:type="spellEnd"/>
      <w:r w:rsidR="000A4B50">
        <w:rPr>
          <w:lang w:val="sv-SE"/>
        </w:rPr>
        <w:t xml:space="preserve"> </w:t>
      </w:r>
      <w:proofErr w:type="spellStart"/>
      <w:r w:rsidR="000A4B50">
        <w:rPr>
          <w:lang w:val="sv-SE"/>
        </w:rPr>
        <w:t>lykkäys</w:t>
      </w:r>
      <w:proofErr w:type="spellEnd"/>
      <w:r w:rsidR="000A4B50">
        <w:rPr>
          <w:lang w:val="sv-SE"/>
        </w:rPr>
        <w:t xml:space="preserve"> </w:t>
      </w:r>
      <w:proofErr w:type="spellStart"/>
      <w:r w:rsidR="000A4B50">
        <w:rPr>
          <w:lang w:val="sv-SE"/>
        </w:rPr>
        <w:t>kuin</w:t>
      </w:r>
      <w:proofErr w:type="spellEnd"/>
      <w:r w:rsidR="000A4B50">
        <w:rPr>
          <w:lang w:val="sv-SE"/>
        </w:rPr>
        <w:t xml:space="preserve"> </w:t>
      </w:r>
      <w:proofErr w:type="spellStart"/>
      <w:r w:rsidR="000A4B50">
        <w:rPr>
          <w:lang w:val="sv-SE"/>
        </w:rPr>
        <w:t>yllämainitut</w:t>
      </w:r>
      <w:proofErr w:type="spellEnd"/>
    </w:p>
    <w:p w14:paraId="4548EE7F" w14:textId="7D1AF4F6" w:rsidR="000A4B50" w:rsidRDefault="000A4B50" w:rsidP="000A4B50">
      <w:pPr>
        <w:spacing w:after="0"/>
        <w:ind w:left="2608"/>
        <w:rPr>
          <w:lang w:val="sv-SE"/>
        </w:rPr>
      </w:pPr>
      <w:proofErr w:type="spellStart"/>
      <w:r>
        <w:rPr>
          <w:lang w:val="sv-SE"/>
        </w:rPr>
        <w:t>Hakijan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tulee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muun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ly</w:t>
      </w:r>
      <w:r w:rsidR="00B578EA">
        <w:rPr>
          <w:lang w:val="sv-SE"/>
        </w:rPr>
        <w:t>kkäyksen</w:t>
      </w:r>
      <w:proofErr w:type="spellEnd"/>
      <w:r w:rsidR="00B578EA">
        <w:rPr>
          <w:lang w:val="sv-SE"/>
        </w:rPr>
        <w:t xml:space="preserve"> </w:t>
      </w:r>
      <w:proofErr w:type="spellStart"/>
      <w:r w:rsidR="00B578EA">
        <w:rPr>
          <w:lang w:val="sv-SE"/>
        </w:rPr>
        <w:t>tapauksessa</w:t>
      </w:r>
      <w:proofErr w:type="spellEnd"/>
      <w:r w:rsidR="00B578EA">
        <w:rPr>
          <w:lang w:val="sv-SE"/>
        </w:rPr>
        <w:t xml:space="preserve"> </w:t>
      </w:r>
      <w:proofErr w:type="spellStart"/>
      <w:r w:rsidR="00B578EA">
        <w:rPr>
          <w:lang w:val="sv-SE"/>
        </w:rPr>
        <w:t>perustella</w:t>
      </w:r>
      <w:proofErr w:type="spellEnd"/>
      <w:r w:rsidR="00B578EA">
        <w:rPr>
          <w:lang w:val="sv-SE"/>
        </w:rPr>
        <w:t xml:space="preserve"> </w:t>
      </w:r>
      <w:proofErr w:type="spellStart"/>
      <w:r w:rsidR="00B578EA">
        <w:rPr>
          <w:lang w:val="sv-SE"/>
        </w:rPr>
        <w:t>lykkäyksen</w:t>
      </w:r>
      <w:proofErr w:type="spellEnd"/>
      <w:r w:rsidR="00B578EA">
        <w:rPr>
          <w:lang w:val="sv-SE"/>
        </w:rPr>
        <w:t xml:space="preserve"> tarvetta </w:t>
      </w:r>
      <w:proofErr w:type="spellStart"/>
      <w:r w:rsidR="00175611">
        <w:rPr>
          <w:lang w:val="sv-SE"/>
        </w:rPr>
        <w:t>liiketoiminnan</w:t>
      </w:r>
      <w:proofErr w:type="spellEnd"/>
      <w:r w:rsidR="00175611">
        <w:rPr>
          <w:lang w:val="sv-SE"/>
        </w:rPr>
        <w:t xml:space="preserve"> ja </w:t>
      </w:r>
      <w:proofErr w:type="spellStart"/>
      <w:r w:rsidR="00175611">
        <w:rPr>
          <w:lang w:val="sv-SE"/>
        </w:rPr>
        <w:t>markkinoiden</w:t>
      </w:r>
      <w:proofErr w:type="spellEnd"/>
      <w:r w:rsidR="00175611">
        <w:rPr>
          <w:lang w:val="sv-SE"/>
        </w:rPr>
        <w:t xml:space="preserve"> </w:t>
      </w:r>
      <w:proofErr w:type="spellStart"/>
      <w:r w:rsidR="00175611">
        <w:rPr>
          <w:lang w:val="sv-SE"/>
        </w:rPr>
        <w:t>toiminnan</w:t>
      </w:r>
      <w:proofErr w:type="spellEnd"/>
      <w:r w:rsidR="00175611">
        <w:rPr>
          <w:lang w:val="sv-SE"/>
        </w:rPr>
        <w:t xml:space="preserve"> </w:t>
      </w:r>
      <w:proofErr w:type="spellStart"/>
      <w:r w:rsidR="00175611">
        <w:rPr>
          <w:lang w:val="sv-SE"/>
        </w:rPr>
        <w:t>näkökulmasta</w:t>
      </w:r>
      <w:proofErr w:type="spellEnd"/>
      <w:r>
        <w:rPr>
          <w:lang w:val="sv-SE"/>
        </w:rPr>
        <w:t xml:space="preserve"> ja </w:t>
      </w:r>
      <w:proofErr w:type="spellStart"/>
      <w:r>
        <w:rPr>
          <w:lang w:val="sv-SE"/>
        </w:rPr>
        <w:t>yksilöidä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MiFIR</w:t>
      </w:r>
      <w:proofErr w:type="spellEnd"/>
      <w:r>
        <w:rPr>
          <w:lang w:val="sv-SE"/>
        </w:rPr>
        <w:t xml:space="preserve"> ja RTS 2 </w:t>
      </w:r>
      <w:proofErr w:type="spellStart"/>
      <w:r>
        <w:rPr>
          <w:lang w:val="sv-SE"/>
        </w:rPr>
        <w:t>asetusten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artiklat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joita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hakija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haluaa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soveltaa</w:t>
      </w:r>
      <w:proofErr w:type="spellEnd"/>
      <w:r>
        <w:rPr>
          <w:lang w:val="sv-SE"/>
        </w:rPr>
        <w:t>.</w:t>
      </w:r>
    </w:p>
    <w:tbl>
      <w:tblPr>
        <w:tblStyle w:val="TableGrid"/>
        <w:tblW w:w="0" w:type="auto"/>
        <w:tblInd w:w="2608" w:type="dxa"/>
        <w:tblLook w:val="04A0" w:firstRow="1" w:lastRow="0" w:firstColumn="1" w:lastColumn="0" w:noHBand="0" w:noVBand="1"/>
      </w:tblPr>
      <w:tblGrid>
        <w:gridCol w:w="7020"/>
      </w:tblGrid>
      <w:tr w:rsidR="000A4B50" w14:paraId="7FD5929F" w14:textId="77777777" w:rsidTr="005D3D8E">
        <w:tc>
          <w:tcPr>
            <w:tcW w:w="9628" w:type="dxa"/>
          </w:tcPr>
          <w:p w14:paraId="19F24F36" w14:textId="77777777" w:rsidR="000A4B50" w:rsidRDefault="000A4B50" w:rsidP="005D3D8E">
            <w:pPr>
              <w:rPr>
                <w:lang w:val="sv-SE"/>
              </w:rPr>
            </w:pPr>
          </w:p>
        </w:tc>
      </w:tr>
    </w:tbl>
    <w:p w14:paraId="4EF72077" w14:textId="77777777" w:rsidR="0020766E" w:rsidRDefault="0020766E" w:rsidP="00532357">
      <w:pPr>
        <w:spacing w:after="0"/>
        <w:ind w:left="2608"/>
        <w:rPr>
          <w:lang w:val="sv-SE"/>
        </w:rPr>
      </w:pPr>
    </w:p>
    <w:p w14:paraId="3F3861A7" w14:textId="2FFA525A" w:rsidR="00D81DA9" w:rsidRDefault="00D81DA9" w:rsidP="00CF6646">
      <w:r>
        <w:t xml:space="preserve">2.2 Jos hakemus koskee </w:t>
      </w:r>
      <w:r w:rsidR="00F868E6">
        <w:t xml:space="preserve">artiklan </w:t>
      </w:r>
      <w:r>
        <w:t xml:space="preserve">11 </w:t>
      </w:r>
      <w:r w:rsidR="00CF6646">
        <w:t xml:space="preserve">mukaista </w:t>
      </w:r>
      <w:r w:rsidR="00DC4080">
        <w:t>lykkäystä</w:t>
      </w:r>
      <w:r>
        <w:t>, me</w:t>
      </w:r>
      <w:r w:rsidR="0011161A">
        <w:t xml:space="preserve">rkitse mitä kauppapaikkaa/kauppapaikkoja </w:t>
      </w:r>
      <w:r>
        <w:t>hakemus koskee</w:t>
      </w:r>
    </w:p>
    <w:p w14:paraId="71070BAC" w14:textId="77777777" w:rsidR="00D81DA9" w:rsidRDefault="00397B03" w:rsidP="00BC5186">
      <w:pPr>
        <w:spacing w:after="0"/>
        <w:ind w:left="1304"/>
      </w:pPr>
      <w:sdt>
        <w:sdtPr>
          <w:id w:val="142554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603">
            <w:rPr>
              <w:rFonts w:ascii="MS Gothic" w:eastAsia="MS Gothic" w:hAnsi="MS Gothic" w:hint="eastAsia"/>
            </w:rPr>
            <w:t>☐</w:t>
          </w:r>
        </w:sdtContent>
      </w:sdt>
      <w:r w:rsidR="00DB3603">
        <w:t xml:space="preserve"> </w:t>
      </w:r>
      <w:proofErr w:type="gramStart"/>
      <w:r w:rsidR="00D81DA9">
        <w:t>Säännelty markkina (RM)</w:t>
      </w:r>
      <w:proofErr w:type="gramEnd"/>
    </w:p>
    <w:p w14:paraId="3657B4AE" w14:textId="77777777" w:rsidR="00D81DA9" w:rsidRDefault="00397B03" w:rsidP="00BC5186">
      <w:pPr>
        <w:spacing w:after="0"/>
        <w:ind w:left="1304"/>
      </w:pPr>
      <w:sdt>
        <w:sdtPr>
          <w:id w:val="71855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603">
            <w:rPr>
              <w:rFonts w:ascii="MS Gothic" w:eastAsia="MS Gothic" w:hAnsi="MS Gothic" w:hint="eastAsia"/>
            </w:rPr>
            <w:t>☐</w:t>
          </w:r>
        </w:sdtContent>
      </w:sdt>
      <w:r w:rsidR="00DB3603">
        <w:t xml:space="preserve"> </w:t>
      </w:r>
      <w:r w:rsidR="00D81DA9">
        <w:t>Monenkeskinen kaupankäyntijärjestelmä (MTF)</w:t>
      </w:r>
    </w:p>
    <w:p w14:paraId="5DBB3FF7" w14:textId="77777777" w:rsidR="00D81DA9" w:rsidRDefault="00397B03" w:rsidP="00BC5186">
      <w:pPr>
        <w:spacing w:after="0"/>
        <w:ind w:left="1304"/>
      </w:pPr>
      <w:sdt>
        <w:sdtPr>
          <w:id w:val="111471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646">
            <w:rPr>
              <w:rFonts w:ascii="MS Gothic" w:eastAsia="MS Gothic" w:hAnsi="MS Gothic" w:hint="eastAsia"/>
            </w:rPr>
            <w:t>☐</w:t>
          </w:r>
        </w:sdtContent>
      </w:sdt>
      <w:r w:rsidR="00DB3603">
        <w:t xml:space="preserve"> </w:t>
      </w:r>
      <w:proofErr w:type="gramStart"/>
      <w:r w:rsidR="00D81DA9">
        <w:t>Organisoitu kaupankäyntijärjestelmä (OTF)</w:t>
      </w:r>
      <w:proofErr w:type="gramEnd"/>
    </w:p>
    <w:p w14:paraId="7391CEE1" w14:textId="77777777" w:rsidR="00CF6646" w:rsidRDefault="00CF6646" w:rsidP="00CF6646"/>
    <w:p w14:paraId="3BBA7A03" w14:textId="034A3576" w:rsidR="00D81DA9" w:rsidRDefault="0011161A" w:rsidP="00CF6646">
      <w:r>
        <w:t>2.3 Rahoitusvälineluokat</w:t>
      </w:r>
      <w:r w:rsidR="00A10CC6">
        <w:t>,</w:t>
      </w:r>
      <w:r w:rsidR="00A6738E">
        <w:t xml:space="preserve"> joita hakemus koskee</w:t>
      </w:r>
    </w:p>
    <w:p w14:paraId="5DF0F9A1" w14:textId="77777777" w:rsidR="00F01D4A" w:rsidRDefault="00A6738E" w:rsidP="00F01D4A">
      <w:pPr>
        <w:ind w:left="1304"/>
      </w:pPr>
      <w:r>
        <w:t xml:space="preserve">Muut kuin oman pääoman ehtoiset </w:t>
      </w:r>
      <w:r w:rsidRPr="00683347">
        <w:t>rahoitusvälineet</w:t>
      </w:r>
      <w:r w:rsidR="0011161A" w:rsidRPr="00683347">
        <w:t xml:space="preserve"> (</w:t>
      </w:r>
      <w:proofErr w:type="spellStart"/>
      <w:r w:rsidR="0011161A" w:rsidRPr="00683347">
        <w:t>Non-equity</w:t>
      </w:r>
      <w:proofErr w:type="spellEnd"/>
      <w:r w:rsidR="0011161A" w:rsidRPr="00683347">
        <w:t>)</w:t>
      </w:r>
      <w:r w:rsidR="00F01D4A">
        <w:t xml:space="preserve"> </w:t>
      </w:r>
    </w:p>
    <w:p w14:paraId="778AEB89" w14:textId="00A58EA7" w:rsidR="002E07E6" w:rsidRDefault="00397B03" w:rsidP="00F01D4A">
      <w:pPr>
        <w:ind w:left="1304"/>
      </w:pPr>
      <w:sdt>
        <w:sdtPr>
          <w:id w:val="-12500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603">
            <w:rPr>
              <w:rFonts w:ascii="MS Gothic" w:eastAsia="MS Gothic" w:hAnsi="MS Gothic" w:hint="eastAsia"/>
            </w:rPr>
            <w:t>☐</w:t>
          </w:r>
        </w:sdtContent>
      </w:sdt>
      <w:r w:rsidR="00DB3603">
        <w:t xml:space="preserve"> </w:t>
      </w:r>
      <w:r w:rsidR="00A6738E">
        <w:t>Joukkovelkakirjat</w:t>
      </w:r>
      <w:r w:rsidR="001E0D43">
        <w:t xml:space="preserve"> </w:t>
      </w:r>
      <w:r w:rsidR="00281317">
        <w:t>(RTS 2 liite III taulukot 2.2 ja 2.4)</w:t>
      </w:r>
    </w:p>
    <w:p w14:paraId="277ACDCC" w14:textId="77777777" w:rsidR="004A3AB8" w:rsidRDefault="00397B03" w:rsidP="00BC5186">
      <w:pPr>
        <w:spacing w:after="0"/>
        <w:ind w:left="2608"/>
      </w:pPr>
      <w:sdt>
        <w:sdtPr>
          <w:id w:val="-54769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E6E">
            <w:rPr>
              <w:rFonts w:ascii="MS Gothic" w:eastAsia="MS Gothic" w:hAnsi="MS Gothic" w:hint="eastAsia"/>
            </w:rPr>
            <w:t>☐</w:t>
          </w:r>
        </w:sdtContent>
      </w:sdt>
      <w:r w:rsidR="00281317">
        <w:t xml:space="preserve"> </w:t>
      </w:r>
      <w:r w:rsidR="004A3AB8">
        <w:t>Valtion joukkovelkakirjalaina</w:t>
      </w:r>
      <w:r w:rsidR="003A511F">
        <w:t>t</w:t>
      </w:r>
    </w:p>
    <w:p w14:paraId="2D35DBA9" w14:textId="77777777" w:rsidR="004A3AB8" w:rsidRDefault="00397B03" w:rsidP="00BC5186">
      <w:pPr>
        <w:spacing w:after="0"/>
        <w:ind w:left="2608"/>
      </w:pPr>
      <w:sdt>
        <w:sdtPr>
          <w:id w:val="115487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317">
            <w:rPr>
              <w:rFonts w:ascii="MS Gothic" w:eastAsia="MS Gothic" w:hAnsi="MS Gothic" w:hint="eastAsia"/>
            </w:rPr>
            <w:t>☐</w:t>
          </w:r>
        </w:sdtContent>
      </w:sdt>
      <w:r w:rsidR="00281317">
        <w:t xml:space="preserve"> </w:t>
      </w:r>
      <w:r w:rsidR="004A3AB8">
        <w:t>Muu</w:t>
      </w:r>
      <w:r w:rsidR="003A511F">
        <w:t>t julkiset</w:t>
      </w:r>
      <w:r w:rsidR="004A3AB8">
        <w:t xml:space="preserve"> joukkovelkakirjalaina</w:t>
      </w:r>
      <w:r w:rsidR="003A511F">
        <w:t>t</w:t>
      </w:r>
    </w:p>
    <w:p w14:paraId="06389FFD" w14:textId="77777777" w:rsidR="004A3AB8" w:rsidRDefault="00397B03" w:rsidP="00BC5186">
      <w:pPr>
        <w:spacing w:after="0"/>
        <w:ind w:left="2608"/>
      </w:pPr>
      <w:sdt>
        <w:sdtPr>
          <w:id w:val="-44869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317">
            <w:rPr>
              <w:rFonts w:ascii="MS Gothic" w:eastAsia="MS Gothic" w:hAnsi="MS Gothic" w:hint="eastAsia"/>
            </w:rPr>
            <w:t>☐</w:t>
          </w:r>
        </w:sdtContent>
      </w:sdt>
      <w:r w:rsidR="00281317">
        <w:t xml:space="preserve"> </w:t>
      </w:r>
      <w:r w:rsidR="004A3AB8">
        <w:t>Vaihtovelkakirjalaina</w:t>
      </w:r>
      <w:r w:rsidR="003A511F">
        <w:t>t</w:t>
      </w:r>
    </w:p>
    <w:p w14:paraId="455E6C39" w14:textId="77777777" w:rsidR="004A3AB8" w:rsidRDefault="00397B03" w:rsidP="00BC5186">
      <w:pPr>
        <w:spacing w:after="0"/>
        <w:ind w:left="2608"/>
      </w:pPr>
      <w:sdt>
        <w:sdtPr>
          <w:id w:val="-176506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317">
            <w:rPr>
              <w:rFonts w:ascii="MS Gothic" w:eastAsia="MS Gothic" w:hAnsi="MS Gothic" w:hint="eastAsia"/>
            </w:rPr>
            <w:t>☐</w:t>
          </w:r>
        </w:sdtContent>
      </w:sdt>
      <w:r w:rsidR="00281317">
        <w:t xml:space="preserve"> </w:t>
      </w:r>
      <w:proofErr w:type="gramStart"/>
      <w:r w:rsidR="003A511F">
        <w:t>Katetut</w:t>
      </w:r>
      <w:r w:rsidR="004A3AB8">
        <w:t xml:space="preserve"> joukkovelkakirjalaina</w:t>
      </w:r>
      <w:r w:rsidR="003A511F">
        <w:t>t</w:t>
      </w:r>
      <w:proofErr w:type="gramEnd"/>
    </w:p>
    <w:p w14:paraId="526AB334" w14:textId="77777777" w:rsidR="004A3AB8" w:rsidRDefault="00397B03" w:rsidP="00BC5186">
      <w:pPr>
        <w:spacing w:after="0"/>
        <w:ind w:left="2608"/>
      </w:pPr>
      <w:sdt>
        <w:sdtPr>
          <w:id w:val="-28997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E6E">
            <w:rPr>
              <w:rFonts w:ascii="MS Gothic" w:eastAsia="MS Gothic" w:hAnsi="MS Gothic" w:hint="eastAsia"/>
            </w:rPr>
            <w:t>☐</w:t>
          </w:r>
        </w:sdtContent>
      </w:sdt>
      <w:r w:rsidR="00281317">
        <w:t xml:space="preserve"> </w:t>
      </w:r>
      <w:r w:rsidR="004A3AB8">
        <w:t xml:space="preserve">Yrityksen </w:t>
      </w:r>
      <w:proofErr w:type="spellStart"/>
      <w:r w:rsidR="004A3AB8">
        <w:t>liikkeeseenlaskema</w:t>
      </w:r>
      <w:r w:rsidR="003A511F">
        <w:t>t</w:t>
      </w:r>
      <w:proofErr w:type="spellEnd"/>
      <w:r w:rsidR="004A3AB8">
        <w:t xml:space="preserve"> joukkovelkakirjalaina</w:t>
      </w:r>
      <w:r w:rsidR="003A511F">
        <w:t>t</w:t>
      </w:r>
    </w:p>
    <w:p w14:paraId="6269AC54" w14:textId="77777777" w:rsidR="004A3AB8" w:rsidRDefault="00397B03" w:rsidP="00BC5186">
      <w:pPr>
        <w:spacing w:after="0"/>
        <w:ind w:left="2608"/>
      </w:pPr>
      <w:sdt>
        <w:sdtPr>
          <w:id w:val="-87114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317">
            <w:rPr>
              <w:rFonts w:ascii="MS Gothic" w:eastAsia="MS Gothic" w:hAnsi="MS Gothic" w:hint="eastAsia"/>
            </w:rPr>
            <w:t>☐</w:t>
          </w:r>
        </w:sdtContent>
      </w:sdt>
      <w:r w:rsidR="00281317">
        <w:t xml:space="preserve"> </w:t>
      </w:r>
      <w:r w:rsidR="004A3AB8">
        <w:t>Muu</w:t>
      </w:r>
      <w:r w:rsidR="00835935">
        <w:t>t</w:t>
      </w:r>
      <w:r w:rsidR="004A3AB8">
        <w:t xml:space="preserve"> joukkovelkakirjalaina</w:t>
      </w:r>
      <w:r w:rsidR="003A511F">
        <w:t>t</w:t>
      </w:r>
    </w:p>
    <w:p w14:paraId="0B04F593" w14:textId="77777777" w:rsidR="004A3AB8" w:rsidRDefault="00397B03" w:rsidP="00BC5186">
      <w:pPr>
        <w:spacing w:after="0"/>
        <w:ind w:left="2608"/>
      </w:pPr>
      <w:sdt>
        <w:sdtPr>
          <w:id w:val="20460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317">
            <w:rPr>
              <w:rFonts w:ascii="MS Gothic" w:eastAsia="MS Gothic" w:hAnsi="MS Gothic" w:hint="eastAsia"/>
            </w:rPr>
            <w:t>☐</w:t>
          </w:r>
        </w:sdtContent>
      </w:sdt>
      <w:r w:rsidR="00281317">
        <w:t xml:space="preserve"> </w:t>
      </w:r>
      <w:proofErr w:type="gramStart"/>
      <w:r w:rsidR="004A3AB8">
        <w:t>Pörssil</w:t>
      </w:r>
      <w:r w:rsidR="00281317">
        <w:t>istatut hyödykkeet (ETC)</w:t>
      </w:r>
      <w:proofErr w:type="gramEnd"/>
    </w:p>
    <w:p w14:paraId="584DC0D2" w14:textId="77777777" w:rsidR="00281317" w:rsidRDefault="00397B03" w:rsidP="00BC5186">
      <w:pPr>
        <w:spacing w:after="0"/>
        <w:ind w:left="2608"/>
      </w:pPr>
      <w:sdt>
        <w:sdtPr>
          <w:id w:val="-1411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317">
            <w:rPr>
              <w:rFonts w:ascii="MS Gothic" w:eastAsia="MS Gothic" w:hAnsi="MS Gothic" w:hint="eastAsia"/>
            </w:rPr>
            <w:t>☐</w:t>
          </w:r>
        </w:sdtContent>
      </w:sdt>
      <w:r w:rsidR="00281317">
        <w:t xml:space="preserve"> </w:t>
      </w:r>
      <w:proofErr w:type="gramStart"/>
      <w:r w:rsidR="00281317">
        <w:t>Pörssilistatut velkakirjat (ETN)</w:t>
      </w:r>
      <w:proofErr w:type="gramEnd"/>
    </w:p>
    <w:p w14:paraId="39EB2FE0" w14:textId="77777777" w:rsidR="006F63F8" w:rsidRDefault="00397B03" w:rsidP="007C0E6E">
      <w:pPr>
        <w:ind w:left="1304"/>
      </w:pPr>
      <w:sdt>
        <w:sdtPr>
          <w:id w:val="-32798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3F8">
            <w:rPr>
              <w:rFonts w:ascii="MS Gothic" w:eastAsia="MS Gothic" w:hAnsi="MS Gothic" w:hint="eastAsia"/>
            </w:rPr>
            <w:t>☐</w:t>
          </w:r>
        </w:sdtContent>
      </w:sdt>
      <w:r w:rsidR="00281317">
        <w:t xml:space="preserve"> Johdann</w:t>
      </w:r>
      <w:r w:rsidR="003A511F">
        <w:t>aiset</w:t>
      </w:r>
    </w:p>
    <w:p w14:paraId="0E987A52" w14:textId="77777777" w:rsidR="00C35A7D" w:rsidRDefault="00397B03" w:rsidP="00BC5186">
      <w:pPr>
        <w:spacing w:after="0"/>
        <w:ind w:left="2608"/>
      </w:pPr>
      <w:sdt>
        <w:sdtPr>
          <w:id w:val="161186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A7D">
            <w:rPr>
              <w:rFonts w:ascii="MS Gothic" w:eastAsia="MS Gothic" w:hAnsi="MS Gothic" w:hint="eastAsia"/>
            </w:rPr>
            <w:t>☐</w:t>
          </w:r>
        </w:sdtContent>
      </w:sdt>
      <w:r w:rsidR="00C35A7D">
        <w:t xml:space="preserve"> </w:t>
      </w:r>
      <w:proofErr w:type="spellStart"/>
      <w:r w:rsidR="00C35A7D">
        <w:t>Arvopaperistetut</w:t>
      </w:r>
      <w:proofErr w:type="spellEnd"/>
      <w:r w:rsidR="00C35A7D">
        <w:t xml:space="preserve"> johdan</w:t>
      </w:r>
      <w:r w:rsidR="004A3AB8">
        <w:t xml:space="preserve">naiset (RTS 2 liite III taulukko </w:t>
      </w:r>
      <w:r w:rsidR="00896C0B">
        <w:t>4.1)</w:t>
      </w:r>
    </w:p>
    <w:p w14:paraId="0A995C61" w14:textId="77777777" w:rsidR="00606DD5" w:rsidRDefault="00397B03" w:rsidP="00BC5186">
      <w:pPr>
        <w:spacing w:after="0"/>
        <w:ind w:left="2608"/>
      </w:pPr>
      <w:sdt>
        <w:sdtPr>
          <w:id w:val="-57874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AB8">
            <w:rPr>
              <w:rFonts w:ascii="MS Gothic" w:eastAsia="MS Gothic" w:hAnsi="MS Gothic" w:hint="eastAsia"/>
            </w:rPr>
            <w:t>☐</w:t>
          </w:r>
        </w:sdtContent>
      </w:sdt>
      <w:r w:rsidR="00C35A7D">
        <w:t xml:space="preserve"> K</w:t>
      </w:r>
      <w:r w:rsidR="00606DD5">
        <w:t>orko</w:t>
      </w:r>
      <w:r w:rsidR="00C35A7D">
        <w:t>johdannaiset</w:t>
      </w:r>
      <w:r w:rsidR="00896C0B">
        <w:t xml:space="preserve"> (RTS 2 liite III taulukko 5.1)</w:t>
      </w:r>
    </w:p>
    <w:p w14:paraId="3879BEBE" w14:textId="77777777" w:rsidR="00C35A7D" w:rsidRDefault="00397B03" w:rsidP="00BC5186">
      <w:pPr>
        <w:spacing w:after="0"/>
        <w:ind w:left="2608"/>
      </w:pPr>
      <w:sdt>
        <w:sdtPr>
          <w:id w:val="-1191215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AB8">
            <w:rPr>
              <w:rFonts w:ascii="MS Gothic" w:eastAsia="MS Gothic" w:hAnsi="MS Gothic" w:hint="eastAsia"/>
            </w:rPr>
            <w:t>☐</w:t>
          </w:r>
        </w:sdtContent>
      </w:sdt>
      <w:r w:rsidR="00C35A7D">
        <w:t xml:space="preserve"> Osakejohdannaiset</w:t>
      </w:r>
      <w:r w:rsidR="00896C0B">
        <w:t xml:space="preserve"> (RTS 2 liite III taulukko 6.1)</w:t>
      </w:r>
    </w:p>
    <w:p w14:paraId="31976022" w14:textId="77777777" w:rsidR="00606DD5" w:rsidRDefault="00397B03" w:rsidP="00BC5186">
      <w:pPr>
        <w:spacing w:after="0"/>
        <w:ind w:left="2608"/>
      </w:pPr>
      <w:sdt>
        <w:sdtPr>
          <w:id w:val="-202593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186">
            <w:rPr>
              <w:rFonts w:ascii="MS Gothic" w:eastAsia="MS Gothic" w:hAnsi="MS Gothic" w:hint="eastAsia"/>
            </w:rPr>
            <w:t>☐</w:t>
          </w:r>
        </w:sdtContent>
      </w:sdt>
      <w:r w:rsidR="004A3AB8">
        <w:t xml:space="preserve"> </w:t>
      </w:r>
      <w:r w:rsidR="00C35A7D">
        <w:t>H</w:t>
      </w:r>
      <w:r w:rsidR="00606DD5">
        <w:t>yödyke</w:t>
      </w:r>
      <w:r w:rsidR="00CF6646">
        <w:t>johdannaiset</w:t>
      </w:r>
      <w:r w:rsidR="00896C0B">
        <w:t xml:space="preserve"> (RTS 2 liite III taulukko 7.1)</w:t>
      </w:r>
    </w:p>
    <w:p w14:paraId="174FBB6A" w14:textId="77777777" w:rsidR="00606DD5" w:rsidRDefault="00397B03" w:rsidP="00BC5186">
      <w:pPr>
        <w:spacing w:after="0"/>
        <w:ind w:left="2608"/>
      </w:pPr>
      <w:sdt>
        <w:sdtPr>
          <w:id w:val="-89420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AB8">
            <w:rPr>
              <w:rFonts w:ascii="MS Gothic" w:eastAsia="MS Gothic" w:hAnsi="MS Gothic" w:hint="eastAsia"/>
            </w:rPr>
            <w:t>☐</w:t>
          </w:r>
        </w:sdtContent>
      </w:sdt>
      <w:r w:rsidR="004A3AB8">
        <w:t xml:space="preserve"> Va</w:t>
      </w:r>
      <w:r w:rsidR="00606DD5">
        <w:t>luutta</w:t>
      </w:r>
      <w:r w:rsidR="00CF6646">
        <w:t>johdannaiset</w:t>
      </w:r>
      <w:r w:rsidR="00896C0B">
        <w:t xml:space="preserve"> (RTS 2 liite III taulukko 8.1)</w:t>
      </w:r>
    </w:p>
    <w:p w14:paraId="68D59AC9" w14:textId="77777777" w:rsidR="00606DD5" w:rsidRDefault="00397B03" w:rsidP="00BC5186">
      <w:pPr>
        <w:spacing w:after="0"/>
        <w:ind w:left="2608"/>
      </w:pPr>
      <w:sdt>
        <w:sdtPr>
          <w:id w:val="4716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186">
            <w:rPr>
              <w:rFonts w:ascii="MS Gothic" w:eastAsia="MS Gothic" w:hAnsi="MS Gothic" w:hint="eastAsia"/>
            </w:rPr>
            <w:t>☐</w:t>
          </w:r>
        </w:sdtContent>
      </w:sdt>
      <w:r w:rsidR="004A3AB8">
        <w:t xml:space="preserve"> L</w:t>
      </w:r>
      <w:r w:rsidR="00606DD5">
        <w:t>uotto</w:t>
      </w:r>
      <w:r w:rsidR="00CF6646">
        <w:t>johdannaiset</w:t>
      </w:r>
      <w:r w:rsidR="00281317">
        <w:t xml:space="preserve"> </w:t>
      </w:r>
      <w:r w:rsidR="00896C0B">
        <w:t xml:space="preserve">(RTS 2 liite III </w:t>
      </w:r>
      <w:r w:rsidR="00281317">
        <w:t xml:space="preserve">taulukko </w:t>
      </w:r>
      <w:r w:rsidR="00896C0B">
        <w:t>9.1)</w:t>
      </w:r>
    </w:p>
    <w:p w14:paraId="65A00395" w14:textId="77777777" w:rsidR="00606DD5" w:rsidRDefault="00397B03" w:rsidP="00BC5186">
      <w:pPr>
        <w:spacing w:after="0"/>
        <w:ind w:left="2608"/>
      </w:pPr>
      <w:sdt>
        <w:sdtPr>
          <w:id w:val="-186582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AB8">
            <w:rPr>
              <w:rFonts w:ascii="MS Gothic" w:eastAsia="MS Gothic" w:hAnsi="MS Gothic" w:hint="eastAsia"/>
            </w:rPr>
            <w:t>☐</w:t>
          </w:r>
        </w:sdtContent>
      </w:sdt>
      <w:r w:rsidR="004A3AB8">
        <w:t xml:space="preserve"> </w:t>
      </w:r>
      <w:r w:rsidR="00606DD5">
        <w:t>C10</w:t>
      </w:r>
      <w:r w:rsidR="00CF6646">
        <w:t>-johdannaiset</w:t>
      </w:r>
      <w:r w:rsidR="00281317">
        <w:t xml:space="preserve"> </w:t>
      </w:r>
      <w:r w:rsidR="00896C0B">
        <w:t xml:space="preserve">(RTS 2 liite III </w:t>
      </w:r>
      <w:r w:rsidR="00281317">
        <w:t>taulukko 10.1</w:t>
      </w:r>
      <w:r w:rsidR="00896C0B">
        <w:t>)</w:t>
      </w:r>
    </w:p>
    <w:p w14:paraId="46B660EB" w14:textId="77777777" w:rsidR="00606DD5" w:rsidRDefault="00397B03" w:rsidP="00BC5186">
      <w:pPr>
        <w:spacing w:after="0"/>
        <w:ind w:left="2608"/>
      </w:pPr>
      <w:sdt>
        <w:sdtPr>
          <w:id w:val="-21328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AB8">
            <w:rPr>
              <w:rFonts w:ascii="MS Gothic" w:eastAsia="MS Gothic" w:hAnsi="MS Gothic" w:hint="eastAsia"/>
            </w:rPr>
            <w:t>☐</w:t>
          </w:r>
        </w:sdtContent>
      </w:sdt>
      <w:r w:rsidR="004A3AB8">
        <w:t xml:space="preserve"> H</w:t>
      </w:r>
      <w:r w:rsidR="00CF6646" w:rsidRPr="004A3AB8">
        <w:t>innanerosopimukset (</w:t>
      </w:r>
      <w:r w:rsidR="00606DD5" w:rsidRPr="004A3AB8">
        <w:t>CFD</w:t>
      </w:r>
      <w:r w:rsidR="00CF6646" w:rsidRPr="004A3AB8">
        <w:t>)</w:t>
      </w:r>
      <w:r w:rsidR="00281317">
        <w:t xml:space="preserve"> </w:t>
      </w:r>
      <w:r w:rsidR="00896C0B">
        <w:t xml:space="preserve">(RTS 2 liite III </w:t>
      </w:r>
      <w:r w:rsidR="00281317">
        <w:t>taulukko 11.1</w:t>
      </w:r>
      <w:r w:rsidR="00896C0B">
        <w:t>)</w:t>
      </w:r>
    </w:p>
    <w:p w14:paraId="5DB0DF87" w14:textId="77777777" w:rsidR="00281317" w:rsidRDefault="00397B03" w:rsidP="00BC5186">
      <w:pPr>
        <w:spacing w:after="0"/>
        <w:ind w:left="2608"/>
      </w:pPr>
      <w:sdt>
        <w:sdtPr>
          <w:id w:val="-1285728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317">
            <w:rPr>
              <w:rFonts w:ascii="MS Gothic" w:eastAsia="MS Gothic" w:hAnsi="MS Gothic" w:hint="eastAsia"/>
            </w:rPr>
            <w:t>☐</w:t>
          </w:r>
        </w:sdtContent>
      </w:sdt>
      <w:r w:rsidR="00281317">
        <w:t xml:space="preserve"> Päästöoikeusjohdannaiset </w:t>
      </w:r>
      <w:r w:rsidR="00896C0B">
        <w:t xml:space="preserve">(RTS 2 liite III </w:t>
      </w:r>
      <w:r w:rsidR="00281317">
        <w:t>taulukko 13.1</w:t>
      </w:r>
      <w:r w:rsidR="00896C0B">
        <w:t>)</w:t>
      </w:r>
    </w:p>
    <w:p w14:paraId="657C14CF" w14:textId="77777777" w:rsidR="00151587" w:rsidRDefault="00151587" w:rsidP="00BC5186">
      <w:pPr>
        <w:spacing w:after="0"/>
        <w:ind w:left="2608"/>
      </w:pPr>
    </w:p>
    <w:p w14:paraId="64373013" w14:textId="77777777" w:rsidR="00CF6646" w:rsidRDefault="00CF6646" w:rsidP="007C0E6E">
      <w:pPr>
        <w:ind w:left="1304"/>
      </w:pPr>
      <w:r>
        <w:t xml:space="preserve">Lisätietoja tarvittaessa, esim. tarkempaa jaottelua RTS 2 liitteen III taulukoiden mukaisesti </w:t>
      </w:r>
    </w:p>
    <w:tbl>
      <w:tblPr>
        <w:tblStyle w:val="TableGrid"/>
        <w:tblW w:w="0" w:type="auto"/>
        <w:tblInd w:w="1304" w:type="dxa"/>
        <w:tblLook w:val="04A0" w:firstRow="1" w:lastRow="0" w:firstColumn="1" w:lastColumn="0" w:noHBand="0" w:noVBand="1"/>
      </w:tblPr>
      <w:tblGrid>
        <w:gridCol w:w="8324"/>
      </w:tblGrid>
      <w:tr w:rsidR="007C0E6E" w14:paraId="044F6AB4" w14:textId="77777777" w:rsidTr="007C0E6E">
        <w:tc>
          <w:tcPr>
            <w:tcW w:w="9628" w:type="dxa"/>
          </w:tcPr>
          <w:p w14:paraId="343C31CE" w14:textId="77777777" w:rsidR="007C0E6E" w:rsidRDefault="007C0E6E" w:rsidP="007C0E6E"/>
        </w:tc>
      </w:tr>
    </w:tbl>
    <w:p w14:paraId="75BD3E13" w14:textId="77777777" w:rsidR="006F63F8" w:rsidRDefault="006F63F8" w:rsidP="007C0E6E">
      <w:pPr>
        <w:ind w:left="1304"/>
      </w:pPr>
    </w:p>
    <w:p w14:paraId="78035210" w14:textId="54ACBD49" w:rsidR="002E07E6" w:rsidRDefault="00397B03" w:rsidP="007C0E6E">
      <w:pPr>
        <w:ind w:left="1304"/>
      </w:pPr>
      <w:sdt>
        <w:sdtPr>
          <w:id w:val="156691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0C3">
            <w:rPr>
              <w:rFonts w:ascii="MS Gothic" w:eastAsia="MS Gothic" w:hAnsi="MS Gothic" w:hint="eastAsia"/>
            </w:rPr>
            <w:t>☐</w:t>
          </w:r>
        </w:sdtContent>
      </w:sdt>
      <w:r w:rsidR="00DB3603">
        <w:t xml:space="preserve"> </w:t>
      </w:r>
      <w:proofErr w:type="gramStart"/>
      <w:r w:rsidR="00A6738E">
        <w:t>Strukturoidut rahoitustuotteet</w:t>
      </w:r>
      <w:r w:rsidR="00606DD5">
        <w:t xml:space="preserve"> (</w:t>
      </w:r>
      <w:proofErr w:type="spellStart"/>
      <w:r w:rsidR="00CC50B9">
        <w:t>H</w:t>
      </w:r>
      <w:r w:rsidR="00606DD5">
        <w:t>uom</w:t>
      </w:r>
      <w:proofErr w:type="spellEnd"/>
      <w:r w:rsidR="00606DD5">
        <w:t>!</w:t>
      </w:r>
      <w:proofErr w:type="gramEnd"/>
      <w:r w:rsidR="00606DD5">
        <w:t xml:space="preserve"> Ks. </w:t>
      </w:r>
      <w:proofErr w:type="spellStart"/>
      <w:r w:rsidR="00606DD5">
        <w:t>MiFIR</w:t>
      </w:r>
      <w:proofErr w:type="spellEnd"/>
      <w:r w:rsidR="00AB25D3">
        <w:t xml:space="preserve"> a</w:t>
      </w:r>
      <w:r w:rsidR="00425066">
        <w:t>rtikla 2(1)(28)</w:t>
      </w:r>
      <w:r w:rsidR="00606DD5">
        <w:rPr>
          <w:rStyle w:val="FootnoteReference"/>
        </w:rPr>
        <w:footnoteReference w:id="3"/>
      </w:r>
      <w:r w:rsidR="00CC0224">
        <w:t>)</w:t>
      </w:r>
    </w:p>
    <w:p w14:paraId="3270370F" w14:textId="77777777" w:rsidR="002E07E6" w:rsidRPr="00425066" w:rsidRDefault="002E07E6" w:rsidP="007C0E6E">
      <w:pPr>
        <w:spacing w:after="0"/>
        <w:ind w:left="1304"/>
      </w:pPr>
      <w:r w:rsidRPr="00425066">
        <w:t>S</w:t>
      </w:r>
      <w:r w:rsidR="006C06E6" w:rsidRPr="00425066">
        <w:t>elvitys mi</w:t>
      </w:r>
      <w:r w:rsidR="00606DD5" w:rsidRPr="00425066">
        <w:t>llaisia</w:t>
      </w:r>
      <w:r w:rsidR="006C06E6" w:rsidRPr="00425066">
        <w:t xml:space="preserve"> strukturoituja rahoitustuotteita</w:t>
      </w:r>
      <w:r w:rsidR="00190865" w:rsidRPr="00425066">
        <w:t xml:space="preserve"> hakemus koskee</w:t>
      </w:r>
    </w:p>
    <w:tbl>
      <w:tblPr>
        <w:tblStyle w:val="TableGrid"/>
        <w:tblW w:w="0" w:type="auto"/>
        <w:tblInd w:w="1304" w:type="dxa"/>
        <w:tblLook w:val="04A0" w:firstRow="1" w:lastRow="0" w:firstColumn="1" w:lastColumn="0" w:noHBand="0" w:noVBand="1"/>
      </w:tblPr>
      <w:tblGrid>
        <w:gridCol w:w="8324"/>
      </w:tblGrid>
      <w:tr w:rsidR="007C0E6E" w14:paraId="2836F59C" w14:textId="77777777" w:rsidTr="007C0E6E">
        <w:tc>
          <w:tcPr>
            <w:tcW w:w="9628" w:type="dxa"/>
          </w:tcPr>
          <w:p w14:paraId="15FD0F0C" w14:textId="77777777" w:rsidR="007C0E6E" w:rsidRDefault="007C0E6E" w:rsidP="007C0E6E"/>
        </w:tc>
      </w:tr>
    </w:tbl>
    <w:p w14:paraId="461882DA" w14:textId="77777777" w:rsidR="00151587" w:rsidRDefault="00151587" w:rsidP="007C0E6E">
      <w:pPr>
        <w:ind w:left="1304"/>
      </w:pPr>
    </w:p>
    <w:p w14:paraId="3560C148" w14:textId="77777777" w:rsidR="00CF6646" w:rsidRDefault="00397B03" w:rsidP="007C0E6E">
      <w:pPr>
        <w:ind w:left="1304"/>
      </w:pPr>
      <w:sdt>
        <w:sdtPr>
          <w:id w:val="-164650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0B9">
            <w:rPr>
              <w:rFonts w:ascii="MS Gothic" w:eastAsia="MS Gothic" w:hAnsi="MS Gothic" w:hint="eastAsia"/>
            </w:rPr>
            <w:t>☐</w:t>
          </w:r>
        </w:sdtContent>
      </w:sdt>
      <w:r w:rsidR="00CF6646">
        <w:t xml:space="preserve"> Päästöoikeudet </w:t>
      </w:r>
    </w:p>
    <w:p w14:paraId="5BE3CA0F" w14:textId="77777777" w:rsidR="00CF6646" w:rsidRDefault="00CF6646" w:rsidP="007C0E6E">
      <w:pPr>
        <w:ind w:left="1304"/>
      </w:pPr>
      <w:r>
        <w:t xml:space="preserve">Selvitys mitä päästöoikeusluokkia hakemus koskee </w:t>
      </w:r>
      <w:r w:rsidRPr="00190865">
        <w:t>RTS 2 liit</w:t>
      </w:r>
      <w:r>
        <w:t>teen III tauluko</w:t>
      </w:r>
      <w:r w:rsidR="003A511F">
        <w:t>n 12.1</w:t>
      </w:r>
      <w:r>
        <w:t xml:space="preserve"> mukaisesti</w:t>
      </w:r>
    </w:p>
    <w:tbl>
      <w:tblPr>
        <w:tblStyle w:val="TableGrid"/>
        <w:tblW w:w="0" w:type="auto"/>
        <w:tblInd w:w="1304" w:type="dxa"/>
        <w:tblLook w:val="04A0" w:firstRow="1" w:lastRow="0" w:firstColumn="1" w:lastColumn="0" w:noHBand="0" w:noVBand="1"/>
      </w:tblPr>
      <w:tblGrid>
        <w:gridCol w:w="8324"/>
      </w:tblGrid>
      <w:tr w:rsidR="007C0E6E" w14:paraId="39AC64DC" w14:textId="77777777" w:rsidTr="007C0E6E">
        <w:tc>
          <w:tcPr>
            <w:tcW w:w="9628" w:type="dxa"/>
          </w:tcPr>
          <w:p w14:paraId="4CCB98A9" w14:textId="77777777" w:rsidR="007C0E6E" w:rsidRDefault="007C0E6E" w:rsidP="007C0E6E"/>
        </w:tc>
      </w:tr>
    </w:tbl>
    <w:p w14:paraId="25A6211E" w14:textId="77777777" w:rsidR="008F204B" w:rsidRDefault="008F204B" w:rsidP="007C0E6E">
      <w:pPr>
        <w:ind w:left="1304"/>
      </w:pPr>
    </w:p>
    <w:p w14:paraId="71514387" w14:textId="34A66CCC" w:rsidR="002B7892" w:rsidRDefault="00D1456D" w:rsidP="00CF6646">
      <w:r>
        <w:t xml:space="preserve">2.4 Tarkemmat tiedot </w:t>
      </w:r>
      <w:r w:rsidR="00D413EA">
        <w:t>mitä lykkäys</w:t>
      </w:r>
      <w:r w:rsidR="002B7892">
        <w:t xml:space="preserve">- tai </w:t>
      </w:r>
      <w:r w:rsidR="002B7892" w:rsidRPr="00896C0B">
        <w:t>vapautus</w:t>
      </w:r>
      <w:r w:rsidR="00D413EA" w:rsidRPr="00896C0B">
        <w:t xml:space="preserve">perusteita </w:t>
      </w:r>
      <w:r w:rsidRPr="00896C0B">
        <w:t>hakemu</w:t>
      </w:r>
      <w:r w:rsidR="00D413EA" w:rsidRPr="00896C0B">
        <w:t>s koskee</w:t>
      </w:r>
      <w:r w:rsidR="00F83395" w:rsidRPr="00896C0B">
        <w:t xml:space="preserve"> </w:t>
      </w:r>
    </w:p>
    <w:p w14:paraId="5729E3E9" w14:textId="00A49A73" w:rsidR="00806306" w:rsidRDefault="002067DE" w:rsidP="00B65B6C">
      <w:pPr>
        <w:ind w:left="1304"/>
      </w:pPr>
      <w:r>
        <w:t>Kauppapaikan tai sijoitus</w:t>
      </w:r>
      <w:r w:rsidR="00AB25D3">
        <w:t xml:space="preserve">palveluyrityksen hakiessa </w:t>
      </w:r>
      <w:proofErr w:type="spellStart"/>
      <w:r w:rsidR="00AB25D3">
        <w:t>MiFIR</w:t>
      </w:r>
      <w:proofErr w:type="spellEnd"/>
      <w:r w:rsidR="00AB25D3">
        <w:t xml:space="preserve"> </w:t>
      </w:r>
      <w:r>
        <w:t>artiklojen 11 tai 21.4 mukaista m</w:t>
      </w:r>
      <w:r w:rsidR="00D413EA">
        <w:t>uiden kuin oman pääoman ehtoisten rahoitusvälineiden (</w:t>
      </w:r>
      <w:proofErr w:type="spellStart"/>
      <w:r w:rsidR="00D413EA">
        <w:t>non-equity</w:t>
      </w:r>
      <w:proofErr w:type="spellEnd"/>
      <w:r w:rsidR="00D413EA">
        <w:t>) lykkäys</w:t>
      </w:r>
      <w:r w:rsidR="00E37990">
        <w:t>tä</w:t>
      </w:r>
      <w:r>
        <w:t xml:space="preserve"> kauppatietojen julkistamiseen, sovellettavat perusteet ovat:</w:t>
      </w:r>
    </w:p>
    <w:p w14:paraId="7D194EE3" w14:textId="4F8CC344" w:rsidR="00A967FB" w:rsidRPr="0020766E" w:rsidRDefault="00397B03" w:rsidP="00A967FB">
      <w:pPr>
        <w:spacing w:after="0"/>
        <w:ind w:left="2608"/>
      </w:pPr>
      <w:sdt>
        <w:sdtPr>
          <w:id w:val="192167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7FB" w:rsidRPr="0020766E">
            <w:rPr>
              <w:rFonts w:ascii="MS Gothic" w:eastAsia="MS Gothic" w:hAnsi="MS Gothic" w:hint="eastAsia"/>
            </w:rPr>
            <w:t>☐</w:t>
          </w:r>
        </w:sdtContent>
      </w:sdt>
      <w:r w:rsidR="00A967FB" w:rsidRPr="0020766E">
        <w:t xml:space="preserve"> </w:t>
      </w:r>
      <w:r w:rsidR="00A10CC6">
        <w:t>Suurikokoinen kauppa (</w:t>
      </w:r>
      <w:r w:rsidR="0046265A" w:rsidRPr="0020766E">
        <w:t>LIS</w:t>
      </w:r>
      <w:r w:rsidR="00A10CC6">
        <w:t>)</w:t>
      </w:r>
      <w:r w:rsidR="00583291" w:rsidRPr="0020766E">
        <w:t xml:space="preserve"> (</w:t>
      </w:r>
      <w:proofErr w:type="spellStart"/>
      <w:r w:rsidR="00583291" w:rsidRPr="0020766E">
        <w:t>MiFIR</w:t>
      </w:r>
      <w:proofErr w:type="spellEnd"/>
      <w:r w:rsidR="00583291" w:rsidRPr="0020766E">
        <w:t xml:space="preserve"> artikla 11.1.a)</w:t>
      </w:r>
    </w:p>
    <w:p w14:paraId="4EF45439" w14:textId="77777777" w:rsidR="00583291" w:rsidRDefault="00397B03" w:rsidP="00583291">
      <w:pPr>
        <w:spacing w:after="0"/>
        <w:ind w:left="2608"/>
      </w:pPr>
      <w:sdt>
        <w:sdtPr>
          <w:id w:val="-29191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291">
            <w:rPr>
              <w:rFonts w:ascii="MS Gothic" w:eastAsia="MS Gothic" w:hAnsi="MS Gothic" w:hint="eastAsia"/>
            </w:rPr>
            <w:t>☐</w:t>
          </w:r>
        </w:sdtContent>
      </w:sdt>
      <w:r w:rsidR="00583291">
        <w:t xml:space="preserve"> Rahoitusvälineet joilla ei ole likvidejä markkinoita (</w:t>
      </w:r>
      <w:proofErr w:type="spellStart"/>
      <w:r w:rsidR="00583291">
        <w:t>MiFIR</w:t>
      </w:r>
      <w:proofErr w:type="spellEnd"/>
      <w:r w:rsidR="00583291">
        <w:t xml:space="preserve"> artikla 11.1.b)</w:t>
      </w:r>
    </w:p>
    <w:p w14:paraId="0E4FEEFE" w14:textId="4CED8435" w:rsidR="00A967FB" w:rsidRPr="00583291" w:rsidRDefault="00397B03" w:rsidP="00A967FB">
      <w:pPr>
        <w:spacing w:after="0"/>
        <w:ind w:left="2608"/>
      </w:pPr>
      <w:sdt>
        <w:sdtPr>
          <w:id w:val="183510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291" w:rsidRPr="00583291">
            <w:rPr>
              <w:rFonts w:ascii="MS Gothic" w:eastAsia="MS Gothic" w:hAnsi="MS Gothic" w:hint="eastAsia"/>
            </w:rPr>
            <w:t>☐</w:t>
          </w:r>
        </w:sdtContent>
      </w:sdt>
      <w:r w:rsidR="00A967FB" w:rsidRPr="00583291">
        <w:t xml:space="preserve"> </w:t>
      </w:r>
      <w:r w:rsidR="00C72C3D">
        <w:t>O</w:t>
      </w:r>
      <w:r w:rsidR="00C72C3D" w:rsidRPr="00C72C3D">
        <w:t>minaiskokoa suurempi</w:t>
      </w:r>
      <w:r w:rsidR="00C72C3D">
        <w:t xml:space="preserve"> kauppa, jolloin likviditeetintarjoaja</w:t>
      </w:r>
      <w:r w:rsidR="00C72C3D" w:rsidRPr="00C72C3D">
        <w:t>lle aiheutuisi tarpeeton riski</w:t>
      </w:r>
      <w:r w:rsidR="00C72C3D">
        <w:t xml:space="preserve"> (</w:t>
      </w:r>
      <w:r w:rsidR="0046265A" w:rsidRPr="00583291">
        <w:t>SSTI</w:t>
      </w:r>
      <w:r w:rsidR="00C72C3D">
        <w:t>)</w:t>
      </w:r>
      <w:r w:rsidR="0046265A" w:rsidRPr="00583291">
        <w:t xml:space="preserve"> </w:t>
      </w:r>
      <w:r w:rsidR="00583291" w:rsidRPr="00583291">
        <w:t>(</w:t>
      </w:r>
      <w:proofErr w:type="spellStart"/>
      <w:r w:rsidR="00583291" w:rsidRPr="00583291">
        <w:t>MiFIR</w:t>
      </w:r>
      <w:proofErr w:type="spellEnd"/>
      <w:r w:rsidR="00583291" w:rsidRPr="00583291">
        <w:t xml:space="preserve"> artikla 11.1.c)</w:t>
      </w:r>
    </w:p>
    <w:p w14:paraId="2B904969" w14:textId="77777777" w:rsidR="00A967FB" w:rsidRDefault="00397B03" w:rsidP="00A967FB">
      <w:pPr>
        <w:spacing w:after="0"/>
        <w:ind w:left="2608"/>
      </w:pPr>
      <w:sdt>
        <w:sdtPr>
          <w:id w:val="31908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7FB">
            <w:rPr>
              <w:rFonts w:ascii="MS Gothic" w:eastAsia="MS Gothic" w:hAnsi="MS Gothic" w:hint="eastAsia"/>
            </w:rPr>
            <w:t>☐</w:t>
          </w:r>
        </w:sdtContent>
      </w:sdt>
      <w:r w:rsidR="00A967FB">
        <w:t xml:space="preserve"> </w:t>
      </w:r>
      <w:r w:rsidR="0046265A">
        <w:t>Liiketoimikokonaisuus</w:t>
      </w:r>
      <w:r w:rsidR="00583291">
        <w:t xml:space="preserve"> (RTS 2 artikla 8.1.d) </w:t>
      </w:r>
    </w:p>
    <w:p w14:paraId="595D1164" w14:textId="77777777" w:rsidR="0046265A" w:rsidRDefault="0046265A" w:rsidP="00A967FB">
      <w:pPr>
        <w:spacing w:after="0"/>
        <w:ind w:left="2608"/>
      </w:pPr>
    </w:p>
    <w:p w14:paraId="627117C5" w14:textId="53C1A611" w:rsidR="00E37990" w:rsidRDefault="0001736B" w:rsidP="00B65B6C">
      <w:pPr>
        <w:ind w:left="1304"/>
      </w:pPr>
      <w:r w:rsidRPr="00896C0B">
        <w:t>Kauppojen s</w:t>
      </w:r>
      <w:r w:rsidR="00806306" w:rsidRPr="00896C0B">
        <w:t>isäisen toteuttajan (SI)</w:t>
      </w:r>
      <w:r w:rsidR="00E37990" w:rsidRPr="00896C0B">
        <w:t xml:space="preserve"> </w:t>
      </w:r>
      <w:r w:rsidR="00806306" w:rsidRPr="00896C0B">
        <w:t>hakiessa</w:t>
      </w:r>
      <w:r w:rsidR="00806306">
        <w:t xml:space="preserve"> </w:t>
      </w:r>
      <w:proofErr w:type="spellStart"/>
      <w:r w:rsidR="00E37990">
        <w:t>MiFIR</w:t>
      </w:r>
      <w:proofErr w:type="spellEnd"/>
      <w:r w:rsidR="00E37990">
        <w:t xml:space="preserve"> artiklan 18.2 muka</w:t>
      </w:r>
      <w:r w:rsidR="00806306">
        <w:t>ista vapautusta m</w:t>
      </w:r>
      <w:r w:rsidR="00E37990">
        <w:t>uiden kuin oman pääoman ehtoisten rahoitusvälineiden (</w:t>
      </w:r>
      <w:proofErr w:type="spellStart"/>
      <w:r w:rsidR="00E37990">
        <w:t>non-equity</w:t>
      </w:r>
      <w:proofErr w:type="spellEnd"/>
      <w:r w:rsidR="00E37990">
        <w:t xml:space="preserve">) </w:t>
      </w:r>
      <w:r w:rsidR="00064C44">
        <w:t>tarjoustietojen antami</w:t>
      </w:r>
      <w:r w:rsidR="00145EB2">
        <w:t>sesta</w:t>
      </w:r>
      <w:r w:rsidR="0020766E">
        <w:t>, sovellettavat perusteet ovat</w:t>
      </w:r>
      <w:r w:rsidR="0035533B">
        <w:rPr>
          <w:rStyle w:val="FootnoteReference"/>
        </w:rPr>
        <w:footnoteReference w:id="4"/>
      </w:r>
      <w:r w:rsidR="002067DE">
        <w:t>:</w:t>
      </w:r>
    </w:p>
    <w:p w14:paraId="27A9D6BB" w14:textId="77777777" w:rsidR="0046265A" w:rsidRDefault="00397B03" w:rsidP="00A967FB">
      <w:pPr>
        <w:spacing w:after="0"/>
        <w:ind w:left="2608"/>
      </w:pPr>
      <w:sdt>
        <w:sdtPr>
          <w:id w:val="46508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7FB">
            <w:rPr>
              <w:rFonts w:ascii="MS Gothic" w:eastAsia="MS Gothic" w:hAnsi="MS Gothic" w:hint="eastAsia"/>
            </w:rPr>
            <w:t>☐</w:t>
          </w:r>
        </w:sdtContent>
      </w:sdt>
      <w:r w:rsidR="00A967FB">
        <w:t xml:space="preserve"> </w:t>
      </w:r>
      <w:r w:rsidR="0046265A" w:rsidRPr="00A967FB">
        <w:t>Rahoitusvälineet, joilla ei ole likvidejä markkinoita</w:t>
      </w:r>
      <w:r w:rsidR="0046265A">
        <w:t xml:space="preserve"> </w:t>
      </w:r>
    </w:p>
    <w:p w14:paraId="399F8892" w14:textId="77777777" w:rsidR="00A967FB" w:rsidRDefault="0046265A" w:rsidP="00A967FB">
      <w:pPr>
        <w:spacing w:after="0"/>
        <w:ind w:left="2608"/>
      </w:pPr>
      <w:r>
        <w:t xml:space="preserve">     </w:t>
      </w:r>
      <w:r w:rsidRPr="00A967FB">
        <w:t>(</w:t>
      </w:r>
      <w:proofErr w:type="spellStart"/>
      <w:r w:rsidRPr="00A967FB">
        <w:t>MiFIR</w:t>
      </w:r>
      <w:proofErr w:type="spellEnd"/>
      <w:r w:rsidRPr="00A967FB">
        <w:t xml:space="preserve"> artikla 9.1.c)</w:t>
      </w:r>
    </w:p>
    <w:p w14:paraId="38470B34" w14:textId="77777777" w:rsidR="0046265A" w:rsidRDefault="00397B03" w:rsidP="00A967FB">
      <w:pPr>
        <w:spacing w:after="0"/>
        <w:ind w:left="2608"/>
      </w:pPr>
      <w:sdt>
        <w:sdtPr>
          <w:id w:val="-152924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7FB">
            <w:rPr>
              <w:rFonts w:ascii="MS Gothic" w:eastAsia="MS Gothic" w:hAnsi="MS Gothic" w:hint="eastAsia"/>
            </w:rPr>
            <w:t>☐</w:t>
          </w:r>
        </w:sdtContent>
      </w:sdt>
      <w:r w:rsidR="00A967FB">
        <w:t xml:space="preserve"> </w:t>
      </w:r>
      <w:r w:rsidR="0046265A" w:rsidRPr="00A967FB">
        <w:t>Johdannaiset, jotka eivät kuulu kaupankäyntivelvollisuuden piiriin</w:t>
      </w:r>
      <w:r w:rsidR="0046265A">
        <w:t xml:space="preserve"> </w:t>
      </w:r>
    </w:p>
    <w:p w14:paraId="18858C48" w14:textId="77777777" w:rsidR="00A967FB" w:rsidRDefault="0046265A" w:rsidP="00A967FB">
      <w:pPr>
        <w:spacing w:after="0"/>
        <w:ind w:left="2608"/>
      </w:pPr>
      <w:r>
        <w:t xml:space="preserve">     (</w:t>
      </w:r>
      <w:proofErr w:type="spellStart"/>
      <w:r w:rsidRPr="00A967FB">
        <w:t>MiFIR</w:t>
      </w:r>
      <w:proofErr w:type="spellEnd"/>
      <w:r w:rsidRPr="00A967FB">
        <w:t xml:space="preserve"> artikla 9.1.c</w:t>
      </w:r>
      <w:r>
        <w:t>)</w:t>
      </w:r>
    </w:p>
    <w:p w14:paraId="56635715" w14:textId="77777777" w:rsidR="0046265A" w:rsidRDefault="00397B03" w:rsidP="00A967FB">
      <w:pPr>
        <w:spacing w:after="0"/>
        <w:ind w:left="2608"/>
      </w:pPr>
      <w:sdt>
        <w:sdtPr>
          <w:id w:val="-19707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7FB">
            <w:rPr>
              <w:rFonts w:ascii="MS Gothic" w:eastAsia="MS Gothic" w:hAnsi="MS Gothic" w:hint="eastAsia"/>
            </w:rPr>
            <w:t>☐</w:t>
          </w:r>
        </w:sdtContent>
      </w:sdt>
      <w:r w:rsidR="00A967FB">
        <w:t xml:space="preserve"> </w:t>
      </w:r>
      <w:r w:rsidR="0046265A" w:rsidRPr="00A967FB">
        <w:t>Toimeksiantokokonaisuus</w:t>
      </w:r>
      <w:r w:rsidR="0046265A">
        <w:t xml:space="preserve"> </w:t>
      </w:r>
    </w:p>
    <w:p w14:paraId="3C10B1EC" w14:textId="77777777" w:rsidR="00A967FB" w:rsidRDefault="0046265A" w:rsidP="0046265A">
      <w:pPr>
        <w:spacing w:after="0"/>
        <w:ind w:left="2608"/>
      </w:pPr>
      <w:r>
        <w:lastRenderedPageBreak/>
        <w:t xml:space="preserve">     (Euroopan parlamentin ja neuvoston asetus (EU) 2016/1033 artikla 1.6.a)</w:t>
      </w:r>
    </w:p>
    <w:p w14:paraId="678676C9" w14:textId="77777777" w:rsidR="00A967FB" w:rsidRDefault="00397B03" w:rsidP="00A967FB">
      <w:pPr>
        <w:spacing w:after="0"/>
        <w:ind w:left="2608"/>
      </w:pPr>
      <w:sdt>
        <w:sdtPr>
          <w:id w:val="-68011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7FB">
            <w:rPr>
              <w:rFonts w:ascii="MS Gothic" w:eastAsia="MS Gothic" w:hAnsi="MS Gothic" w:hint="eastAsia"/>
            </w:rPr>
            <w:t>☐</w:t>
          </w:r>
        </w:sdtContent>
      </w:sdt>
      <w:r w:rsidR="00A967FB">
        <w:t xml:space="preserve"> </w:t>
      </w:r>
      <w:r w:rsidR="0046265A" w:rsidRPr="00A967FB">
        <w:t>Aineellisen hyödykkeen vaihtoa koskevat toimeksiannot (EFP)</w:t>
      </w:r>
    </w:p>
    <w:p w14:paraId="2C87E4DF" w14:textId="77777777" w:rsidR="0046265A" w:rsidRDefault="0046265A" w:rsidP="00A967FB">
      <w:pPr>
        <w:spacing w:after="0"/>
        <w:ind w:left="2608"/>
      </w:pPr>
      <w:r>
        <w:t xml:space="preserve">     (Euroopan parlamentin ja neuvoston asetus (EU) 2016/1033 artikla 1.6.a)</w:t>
      </w:r>
    </w:p>
    <w:p w14:paraId="74640F68" w14:textId="77777777" w:rsidR="00806306" w:rsidRDefault="00806306" w:rsidP="00B65B6C"/>
    <w:p w14:paraId="3DB0052A" w14:textId="77777777" w:rsidR="00D1456D" w:rsidRDefault="00D1456D" w:rsidP="00CF6646">
      <w:r>
        <w:t xml:space="preserve">2.5 </w:t>
      </w:r>
      <w:r w:rsidR="00AD4E17">
        <w:t xml:space="preserve">Miten haettua lykkäystä/vapautusta on </w:t>
      </w:r>
      <w:r w:rsidR="00064C44">
        <w:t>tarkoitus noudattaa käytännössä</w:t>
      </w:r>
      <w:r w:rsidR="00AD4E17">
        <w:t xml:space="preserve"> (esim. tietojen julkistamisen toimintatapojen/järjeste</w:t>
      </w:r>
      <w:r w:rsidR="00064C44">
        <w:t>lmän kuvaus relevanteilta osin)?</w:t>
      </w:r>
    </w:p>
    <w:tbl>
      <w:tblPr>
        <w:tblStyle w:val="TableGrid"/>
        <w:tblW w:w="0" w:type="auto"/>
        <w:tblInd w:w="1304" w:type="dxa"/>
        <w:tblLook w:val="04A0" w:firstRow="1" w:lastRow="0" w:firstColumn="1" w:lastColumn="0" w:noHBand="0" w:noVBand="1"/>
      </w:tblPr>
      <w:tblGrid>
        <w:gridCol w:w="8324"/>
      </w:tblGrid>
      <w:tr w:rsidR="007C0E6E" w14:paraId="63AA8E4F" w14:textId="77777777" w:rsidTr="007C0E6E">
        <w:tc>
          <w:tcPr>
            <w:tcW w:w="9628" w:type="dxa"/>
          </w:tcPr>
          <w:p w14:paraId="24C2E3D1" w14:textId="77777777" w:rsidR="007C0E6E" w:rsidRDefault="007C0E6E" w:rsidP="007C0E6E"/>
        </w:tc>
      </w:tr>
    </w:tbl>
    <w:p w14:paraId="21224E2F" w14:textId="77777777" w:rsidR="00B831D3" w:rsidRDefault="00B831D3" w:rsidP="007C0E6E">
      <w:pPr>
        <w:ind w:left="1304"/>
      </w:pPr>
    </w:p>
    <w:p w14:paraId="0A7502F7" w14:textId="13DA633C" w:rsidR="00D26EB2" w:rsidRPr="00897A75" w:rsidRDefault="00064C44" w:rsidP="00897A75">
      <w:r>
        <w:t>2.</w:t>
      </w:r>
      <w:r w:rsidR="002067DE">
        <w:t>6</w:t>
      </w:r>
      <w:r>
        <w:t xml:space="preserve"> </w:t>
      </w:r>
      <w:r w:rsidR="002B7892" w:rsidRPr="00897A75">
        <w:t xml:space="preserve">Mistä </w:t>
      </w:r>
      <w:r w:rsidR="00897A75">
        <w:t xml:space="preserve">päivämäärästä </w:t>
      </w:r>
      <w:r w:rsidR="002B7892" w:rsidRPr="00897A75">
        <w:t>alkaen</w:t>
      </w:r>
      <w:r w:rsidR="00B831D3" w:rsidRPr="00897A75">
        <w:t xml:space="preserve"> hakijan on tarkoitus soveltaa</w:t>
      </w:r>
      <w:r w:rsidR="00D26EB2" w:rsidRPr="00897A75">
        <w:t xml:space="preserve"> lykkäystä tai vapautusta</w:t>
      </w:r>
      <w:r w:rsidR="00897A75">
        <w:t>?</w:t>
      </w:r>
    </w:p>
    <w:tbl>
      <w:tblPr>
        <w:tblStyle w:val="TableGrid"/>
        <w:tblW w:w="0" w:type="auto"/>
        <w:tblInd w:w="1304" w:type="dxa"/>
        <w:tblLook w:val="04A0" w:firstRow="1" w:lastRow="0" w:firstColumn="1" w:lastColumn="0" w:noHBand="0" w:noVBand="1"/>
      </w:tblPr>
      <w:tblGrid>
        <w:gridCol w:w="8324"/>
      </w:tblGrid>
      <w:tr w:rsidR="00B831D3" w:rsidRPr="00897A75" w14:paraId="735C1349" w14:textId="77777777" w:rsidTr="00B831D3">
        <w:tc>
          <w:tcPr>
            <w:tcW w:w="9628" w:type="dxa"/>
          </w:tcPr>
          <w:p w14:paraId="45FF6F42" w14:textId="77777777" w:rsidR="00B831D3" w:rsidRPr="00897A75" w:rsidRDefault="00B831D3" w:rsidP="00D26EB2"/>
        </w:tc>
      </w:tr>
    </w:tbl>
    <w:p w14:paraId="2E5CCF55" w14:textId="77777777" w:rsidR="00B831D3" w:rsidRPr="00897A75" w:rsidRDefault="00B831D3" w:rsidP="00D26EB2">
      <w:pPr>
        <w:ind w:left="1304"/>
      </w:pPr>
    </w:p>
    <w:p w14:paraId="398AB470" w14:textId="77777777" w:rsidR="00597044" w:rsidRPr="00DF3C04" w:rsidRDefault="00597044" w:rsidP="0039638D">
      <w:pPr>
        <w:ind w:left="1304"/>
      </w:pPr>
    </w:p>
    <w:sectPr w:rsidR="00597044" w:rsidRPr="00DF3C04" w:rsidSect="00D02FFD">
      <w:headerReference w:type="default" r:id="rId11"/>
      <w:pgSz w:w="11906" w:h="16838"/>
      <w:pgMar w:top="1560" w:right="1134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A5AD7" w14:textId="77777777" w:rsidR="003A0277" w:rsidRDefault="003A0277" w:rsidP="00C23B02">
      <w:pPr>
        <w:spacing w:after="0" w:line="240" w:lineRule="auto"/>
      </w:pPr>
      <w:r>
        <w:separator/>
      </w:r>
    </w:p>
  </w:endnote>
  <w:endnote w:type="continuationSeparator" w:id="0">
    <w:p w14:paraId="6AECAA41" w14:textId="77777777" w:rsidR="003A0277" w:rsidRDefault="003A0277" w:rsidP="00C2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698FE" w14:textId="77777777" w:rsidR="003A0277" w:rsidRDefault="003A0277" w:rsidP="00C23B02">
      <w:pPr>
        <w:spacing w:after="0" w:line="240" w:lineRule="auto"/>
      </w:pPr>
      <w:r>
        <w:separator/>
      </w:r>
    </w:p>
  </w:footnote>
  <w:footnote w:type="continuationSeparator" w:id="0">
    <w:p w14:paraId="64BAA6A5" w14:textId="77777777" w:rsidR="003A0277" w:rsidRDefault="003A0277" w:rsidP="00C23B02">
      <w:pPr>
        <w:spacing w:after="0" w:line="240" w:lineRule="auto"/>
      </w:pPr>
      <w:r>
        <w:continuationSeparator/>
      </w:r>
    </w:p>
  </w:footnote>
  <w:footnote w:id="1">
    <w:p w14:paraId="297BEFF2" w14:textId="77777777" w:rsidR="00932BAC" w:rsidRDefault="00932BAC" w:rsidP="00932B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Euroopan parlamentin ja neuvoston asetus (EU) N:o 600/2014</w:t>
      </w:r>
      <w:r w:rsidR="001E0D43">
        <w:t xml:space="preserve">, </w:t>
      </w:r>
      <w:r w:rsidR="001E0D43" w:rsidRPr="001E0D43">
        <w:t>annettu 15 päivänä toukokuuta 2014</w:t>
      </w:r>
      <w:r w:rsidR="001E0D43">
        <w:t xml:space="preserve">, </w:t>
      </w:r>
      <w:r>
        <w:t>rahoitusvälineiden markkinoista</w:t>
      </w:r>
      <w:proofErr w:type="gramEnd"/>
    </w:p>
  </w:footnote>
  <w:footnote w:id="2">
    <w:p w14:paraId="12B0D4F5" w14:textId="77777777" w:rsidR="00950DA0" w:rsidRDefault="00950DA0" w:rsidP="00950D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1E0D43">
        <w:t>K</w:t>
      </w:r>
      <w:r>
        <w:t>omission delegoitu asetus</w:t>
      </w:r>
      <w:r w:rsidRPr="001E0D43">
        <w:t xml:space="preserve"> (EU) 2017/583, annettu 14 päivänä heinäkuuta 2016, rahoitusvälineiden markkinoista annetun Euroopan parlamentin ja neuvoston asetuksen (EU) N:o 600/2014 täydentämisestä kauppapaikoille ja sijoituspalveluyrityksille joukkovelkakirjalainojen, strukturoitujen rahoitustuotteiden, päästöoikeuksien ja johdannaisten osalta asetettavia avoimuusvaatimuksia koskevilla teknisillä sääntelystandardeilla</w:t>
      </w:r>
      <w:proofErr w:type="gramEnd"/>
    </w:p>
  </w:footnote>
  <w:footnote w:id="3">
    <w:p w14:paraId="39739BF9" w14:textId="77777777" w:rsidR="00606DD5" w:rsidRDefault="00606DD5" w:rsidP="00606DD5">
      <w:pPr>
        <w:pStyle w:val="FootnoteText"/>
      </w:pPr>
      <w:r w:rsidRPr="00896C0B">
        <w:rPr>
          <w:rStyle w:val="FootnoteReference"/>
        </w:rPr>
        <w:footnoteRef/>
      </w:r>
      <w:r w:rsidRPr="00896C0B">
        <w:t xml:space="preserve"> </w:t>
      </w:r>
      <w:proofErr w:type="spellStart"/>
      <w:r w:rsidRPr="00896C0B">
        <w:t>MiFIR</w:t>
      </w:r>
      <w:proofErr w:type="spellEnd"/>
      <w:r w:rsidRPr="00896C0B">
        <w:t xml:space="preserve"> artikla 2(1)(28) Tässä asetuksessa tarkoitetaan strukturoiduilla rahoitustuotteilla arvopapereita, jotka on luotu rahoitusomaisuuden ryhmään liittyvän luottoriskin </w:t>
      </w:r>
      <w:proofErr w:type="spellStart"/>
      <w:r w:rsidRPr="00896C0B">
        <w:t>arvopaperistamista</w:t>
      </w:r>
      <w:proofErr w:type="spellEnd"/>
      <w:r w:rsidRPr="00896C0B">
        <w:t xml:space="preserve"> ja siirtoa varten ja jotka antavat arvopaperin haltijalle oikeuden vastaanottaa säännöllisiä maksuja, joiden määrä riippuu kohde-etuutena olevista omaisuuseristä saatavasta kassavirrasta</w:t>
      </w:r>
    </w:p>
  </w:footnote>
  <w:footnote w:id="4">
    <w:p w14:paraId="470CB237" w14:textId="15F273C4" w:rsidR="0035533B" w:rsidRDefault="0035533B">
      <w:pPr>
        <w:pStyle w:val="FootnoteText"/>
      </w:pPr>
      <w:r>
        <w:rPr>
          <w:rStyle w:val="FootnoteReference"/>
        </w:rPr>
        <w:footnoteRef/>
      </w:r>
      <w:r>
        <w:t xml:space="preserve"> Kauppojen sisäisen toteuttajan velvollisuus antaa hintatarjousta koskevia tietoja muille asiakkaille ei koske SSTI- tai LIS-rajan ylittäviä tarjouksia (</w:t>
      </w:r>
      <w:proofErr w:type="spellStart"/>
      <w:r>
        <w:t>MiFIR</w:t>
      </w:r>
      <w:proofErr w:type="spellEnd"/>
      <w:r>
        <w:t xml:space="preserve"> artikla 18.10). Perusteissa ei siksi ole mainittu SSTI- tai LIS-vaihtoehtoja.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86732" w14:textId="58056D3E" w:rsidR="00D02FFD" w:rsidRPr="0063716E" w:rsidRDefault="00D02FFD" w:rsidP="0063716E">
    <w:pPr>
      <w:pStyle w:val="Header"/>
      <w:tabs>
        <w:tab w:val="left" w:pos="5954"/>
      </w:tabs>
      <w:ind w:hanging="851"/>
      <w:rPr>
        <w:b/>
      </w:rPr>
    </w:pPr>
    <w:r w:rsidRPr="00091ECC">
      <w:rPr>
        <w:noProof/>
        <w:sz w:val="2"/>
        <w:szCs w:val="2"/>
        <w:lang w:eastAsia="fi-FI"/>
      </w:rPr>
      <w:drawing>
        <wp:anchor distT="0" distB="0" distL="114300" distR="114300" simplePos="0" relativeHeight="251659264" behindDoc="0" locked="0" layoutInCell="1" allowOverlap="1" wp14:anchorId="53470FBF" wp14:editId="6833E242">
          <wp:simplePos x="0" y="0"/>
          <wp:positionH relativeFrom="page">
            <wp:posOffset>156210</wp:posOffset>
          </wp:positionH>
          <wp:positionV relativeFrom="topMargin">
            <wp:align>bottom</wp:align>
          </wp:positionV>
          <wp:extent cx="3916680" cy="792480"/>
          <wp:effectExtent l="0" t="0" r="7620" b="7620"/>
          <wp:wrapNone/>
          <wp:docPr id="14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="0063716E">
      <w:rPr>
        <w:b/>
      </w:rPr>
      <w:t>Hakemus</w:t>
    </w:r>
    <w:r w:rsidR="0063716E">
      <w:rPr>
        <w:b/>
      </w:rPr>
      <w:tab/>
    </w:r>
    <w:r w:rsidR="000A4B50" w:rsidRPr="0063716E">
      <w:t>2</w:t>
    </w:r>
    <w:r w:rsidR="0063716E" w:rsidRPr="0063716E">
      <w:t>.0</w:t>
    </w:r>
  </w:p>
  <w:p w14:paraId="701BC7DF" w14:textId="77777777" w:rsidR="00D02FFD" w:rsidRPr="0063716E" w:rsidRDefault="00D02F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4F7158"/>
    <w:multiLevelType w:val="multilevel"/>
    <w:tmpl w:val="2D581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7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96"/>
    <w:rsid w:val="0001736B"/>
    <w:rsid w:val="00064C44"/>
    <w:rsid w:val="000A4B50"/>
    <w:rsid w:val="000B661F"/>
    <w:rsid w:val="000C6516"/>
    <w:rsid w:val="0011161A"/>
    <w:rsid w:val="00125EAE"/>
    <w:rsid w:val="00145EB2"/>
    <w:rsid w:val="00151587"/>
    <w:rsid w:val="00175611"/>
    <w:rsid w:val="00190865"/>
    <w:rsid w:val="001E0D43"/>
    <w:rsid w:val="001E3AA1"/>
    <w:rsid w:val="002067DE"/>
    <w:rsid w:val="0020766E"/>
    <w:rsid w:val="00281317"/>
    <w:rsid w:val="002B5D47"/>
    <w:rsid w:val="002B7892"/>
    <w:rsid w:val="002E07E6"/>
    <w:rsid w:val="00327382"/>
    <w:rsid w:val="0035533B"/>
    <w:rsid w:val="0037097C"/>
    <w:rsid w:val="00370FA0"/>
    <w:rsid w:val="00372FA5"/>
    <w:rsid w:val="0039521D"/>
    <w:rsid w:val="00395874"/>
    <w:rsid w:val="0039638D"/>
    <w:rsid w:val="00397B03"/>
    <w:rsid w:val="003A0277"/>
    <w:rsid w:val="003A511F"/>
    <w:rsid w:val="003C5092"/>
    <w:rsid w:val="003F39F5"/>
    <w:rsid w:val="00414950"/>
    <w:rsid w:val="00425066"/>
    <w:rsid w:val="004340B8"/>
    <w:rsid w:val="0046265A"/>
    <w:rsid w:val="00476196"/>
    <w:rsid w:val="004A3AB8"/>
    <w:rsid w:val="005068F9"/>
    <w:rsid w:val="00515235"/>
    <w:rsid w:val="00524633"/>
    <w:rsid w:val="00532357"/>
    <w:rsid w:val="0055249F"/>
    <w:rsid w:val="005705CF"/>
    <w:rsid w:val="00571EFD"/>
    <w:rsid w:val="005748F8"/>
    <w:rsid w:val="00583291"/>
    <w:rsid w:val="00584594"/>
    <w:rsid w:val="00597044"/>
    <w:rsid w:val="005B1227"/>
    <w:rsid w:val="005B19BD"/>
    <w:rsid w:val="00606DD5"/>
    <w:rsid w:val="00633A2B"/>
    <w:rsid w:val="0063716E"/>
    <w:rsid w:val="00683347"/>
    <w:rsid w:val="006C06E6"/>
    <w:rsid w:val="006F63F8"/>
    <w:rsid w:val="00717569"/>
    <w:rsid w:val="00780327"/>
    <w:rsid w:val="00783C34"/>
    <w:rsid w:val="007B76C7"/>
    <w:rsid w:val="007C0E6E"/>
    <w:rsid w:val="007C13B5"/>
    <w:rsid w:val="00806306"/>
    <w:rsid w:val="00835935"/>
    <w:rsid w:val="00846C57"/>
    <w:rsid w:val="008961C3"/>
    <w:rsid w:val="00896C0B"/>
    <w:rsid w:val="00897A75"/>
    <w:rsid w:val="008F0484"/>
    <w:rsid w:val="008F204B"/>
    <w:rsid w:val="00914AF8"/>
    <w:rsid w:val="009253B1"/>
    <w:rsid w:val="00932BAC"/>
    <w:rsid w:val="00946BFF"/>
    <w:rsid w:val="00950DA0"/>
    <w:rsid w:val="00980122"/>
    <w:rsid w:val="009C382D"/>
    <w:rsid w:val="00A10CC6"/>
    <w:rsid w:val="00A2520C"/>
    <w:rsid w:val="00A37D31"/>
    <w:rsid w:val="00A6738E"/>
    <w:rsid w:val="00A74C0A"/>
    <w:rsid w:val="00A967FB"/>
    <w:rsid w:val="00AB25D3"/>
    <w:rsid w:val="00AC095B"/>
    <w:rsid w:val="00AD4E17"/>
    <w:rsid w:val="00AF310E"/>
    <w:rsid w:val="00B160C3"/>
    <w:rsid w:val="00B3696A"/>
    <w:rsid w:val="00B578EA"/>
    <w:rsid w:val="00B65B6C"/>
    <w:rsid w:val="00B831D3"/>
    <w:rsid w:val="00BC2B1F"/>
    <w:rsid w:val="00BC5186"/>
    <w:rsid w:val="00BE71C3"/>
    <w:rsid w:val="00C23B02"/>
    <w:rsid w:val="00C35A7D"/>
    <w:rsid w:val="00C715BF"/>
    <w:rsid w:val="00C72C3D"/>
    <w:rsid w:val="00CA352F"/>
    <w:rsid w:val="00CC0224"/>
    <w:rsid w:val="00CC50B9"/>
    <w:rsid w:val="00CD12EE"/>
    <w:rsid w:val="00CF6646"/>
    <w:rsid w:val="00D02FFD"/>
    <w:rsid w:val="00D1456D"/>
    <w:rsid w:val="00D26EB2"/>
    <w:rsid w:val="00D413EA"/>
    <w:rsid w:val="00D76526"/>
    <w:rsid w:val="00D81DA9"/>
    <w:rsid w:val="00DB3603"/>
    <w:rsid w:val="00DC4080"/>
    <w:rsid w:val="00DD02B1"/>
    <w:rsid w:val="00DE71C6"/>
    <w:rsid w:val="00DF3C04"/>
    <w:rsid w:val="00E37990"/>
    <w:rsid w:val="00E768EC"/>
    <w:rsid w:val="00EB2824"/>
    <w:rsid w:val="00F01D4A"/>
    <w:rsid w:val="00F1412C"/>
    <w:rsid w:val="00F83395"/>
    <w:rsid w:val="00F868E6"/>
    <w:rsid w:val="00F95224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3D65E4"/>
  <w15:chartTrackingRefBased/>
  <w15:docId w15:val="{660AE1D9-A0CD-4B74-B4AE-0E032ACE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23B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3B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3B02"/>
    <w:rPr>
      <w:vertAlign w:val="superscript"/>
    </w:rPr>
  </w:style>
  <w:style w:type="paragraph" w:styleId="ListParagraph">
    <w:name w:val="List Paragraph"/>
    <w:basedOn w:val="Normal"/>
    <w:uiPriority w:val="34"/>
    <w:qFormat/>
    <w:rsid w:val="00932B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5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2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2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80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FFD"/>
  </w:style>
  <w:style w:type="paragraph" w:styleId="Footer">
    <w:name w:val="footer"/>
    <w:basedOn w:val="Normal"/>
    <w:link w:val="FooterChar"/>
    <w:uiPriority w:val="99"/>
    <w:unhideWhenUsed/>
    <w:rsid w:val="00D02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D8E4FD93E8741B240823B21183B7D" ma:contentTypeVersion="1" ma:contentTypeDescription="Create a new document." ma:contentTypeScope="" ma:versionID="116f593dd196d37c33c8e1bc7ac7c2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4653-71F8-4993-BC4A-4E8152542C8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C9CC25-3CF1-47B8-A54C-0A1FBD6E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C14F0-17F7-4206-9C5B-5E92FBE0E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99D99E-6CEB-4AC9-81EE-A67A6805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4540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MiFIR-hakemuslomake</vt:lpstr>
      <vt:lpstr>MiFIR-hakemuslomake</vt:lpstr>
    </vt:vector>
  </TitlesOfParts>
  <Company>Suomen Pankki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MiFIR-hakemuslomake</dc:title>
  <dc:subject/>
  <dc:creator>Joutsjoki, Sirpa</dc:creator>
  <cp:keywords/>
  <dc:description/>
  <cp:lastModifiedBy>Hakavirta, Suvi</cp:lastModifiedBy>
  <cp:revision>2</cp:revision>
  <cp:lastPrinted>2017-09-14T12:28:00Z</cp:lastPrinted>
  <dcterms:created xsi:type="dcterms:W3CDTF">2018-11-13T11:18:00Z</dcterms:created>
  <dcterms:modified xsi:type="dcterms:W3CDTF">2018-11-13T11:18:00Z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0x010100D1ED8E4FD93E8741B240823B21183B7D</vt:lpwstr>
  </property>
  <property fmtid="{D5CDD505-2E9C-101B-9397-08002B2CF9AE}" pid="3" name="_dlc_DocIdItemGuid">
    <vt:lpwstr>4f386475-bc52-4efa-8950-62f983b005cd</vt:lpwstr>
  </property>
  <property fmtid="{D5CDD505-2E9C-101B-9397-08002B2CF9AE}" pid="4" name="RestrictionEscbSensitivity">
    <vt:lpwstr/>
  </property>
</Properties>
</file>