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2AD63" w14:textId="77777777" w:rsidR="00E261A4" w:rsidRPr="00C234FB" w:rsidRDefault="00E261A4" w:rsidP="003A4333">
      <w:pPr>
        <w:tabs>
          <w:tab w:val="left" w:pos="5245"/>
        </w:tabs>
        <w:jc w:val="center"/>
        <w:rPr>
          <w:rFonts w:eastAsiaTheme="minorHAnsi" w:cstheme="minorBidi"/>
          <w:szCs w:val="22"/>
        </w:rPr>
      </w:pPr>
      <w:bookmarkStart w:id="0" w:name="_GoBack"/>
      <w:bookmarkEnd w:id="0"/>
      <w:r>
        <w:rPr>
          <w:noProof/>
          <w:lang w:val="fi-FI" w:eastAsia="fi-FI"/>
        </w:rPr>
        <w:drawing>
          <wp:inline distT="0" distB="0" distL="0" distR="0" wp14:anchorId="5BB2B13F" wp14:editId="5BB2B140">
            <wp:extent cx="1799590" cy="12261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1799590" cy="1226185"/>
                    </a:xfrm>
                    <a:prstGeom prst="rect">
                      <a:avLst/>
                    </a:prstGeom>
                  </pic:spPr>
                </pic:pic>
              </a:graphicData>
            </a:graphic>
          </wp:inline>
        </w:drawing>
      </w:r>
    </w:p>
    <w:p w14:paraId="5BB2AD64" w14:textId="7EB587D5" w:rsidR="00E261A4" w:rsidRPr="00C912C6" w:rsidRDefault="00E261A4" w:rsidP="00E261A4">
      <w:pPr>
        <w:tabs>
          <w:tab w:val="left" w:pos="1480"/>
        </w:tabs>
        <w:jc w:val="right"/>
        <w:rPr>
          <w:rFonts w:eastAsiaTheme="minorHAnsi" w:cstheme="minorBidi"/>
        </w:rPr>
      </w:pPr>
      <w:r w:rsidRPr="00C912C6">
        <w:rPr>
          <w:rFonts w:eastAsiaTheme="minorHAnsi" w:cstheme="minorBidi"/>
          <w:sz w:val="20"/>
          <w:szCs w:val="20"/>
        </w:rPr>
        <w:br/>
        <w:t>EIOPA-BoS-</w:t>
      </w:r>
      <w:sdt>
        <w:sdtPr>
          <w:rPr>
            <w:rFonts w:eastAsiaTheme="minorHAnsi" w:cstheme="minorBidi"/>
            <w:sz w:val="20"/>
            <w:szCs w:val="20"/>
          </w:rPr>
          <w:id w:val="-1605414361"/>
        </w:sdtPr>
        <w:sdtEndPr/>
        <w:sdtContent>
          <w:r w:rsidRPr="00C912C6">
            <w:rPr>
              <w:rFonts w:eastAsiaTheme="minorHAnsi" w:cstheme="minorBidi"/>
              <w:sz w:val="20"/>
              <w:szCs w:val="20"/>
            </w:rPr>
            <w:t>1</w:t>
          </w:r>
          <w:r w:rsidR="00602D60" w:rsidRPr="00C912C6">
            <w:rPr>
              <w:rFonts w:eastAsiaTheme="minorHAnsi" w:cstheme="minorBidi"/>
              <w:sz w:val="20"/>
              <w:szCs w:val="20"/>
            </w:rPr>
            <w:t>8</w:t>
          </w:r>
          <w:r w:rsidRPr="00C912C6">
            <w:rPr>
              <w:rFonts w:eastAsiaTheme="minorHAnsi" w:cstheme="minorBidi"/>
              <w:sz w:val="20"/>
              <w:szCs w:val="20"/>
            </w:rPr>
            <w:t>/</w:t>
          </w:r>
          <w:r w:rsidR="00850EC4" w:rsidRPr="00C912C6">
            <w:rPr>
              <w:rFonts w:eastAsiaTheme="minorHAnsi" w:cstheme="minorBidi"/>
              <w:sz w:val="20"/>
              <w:szCs w:val="20"/>
            </w:rPr>
            <w:t>099</w:t>
          </w:r>
        </w:sdtContent>
      </w:sdt>
      <w:r w:rsidRPr="00C912C6">
        <w:rPr>
          <w:rFonts w:eastAsiaTheme="minorHAnsi" w:cstheme="minorBidi"/>
          <w:sz w:val="20"/>
          <w:szCs w:val="20"/>
        </w:rPr>
        <w:br/>
      </w:r>
      <w:sdt>
        <w:sdtPr>
          <w:rPr>
            <w:rFonts w:eastAsiaTheme="minorHAnsi" w:cstheme="minorBidi"/>
            <w:sz w:val="20"/>
            <w:szCs w:val="20"/>
          </w:rPr>
          <w:id w:val="-113525082"/>
        </w:sdtPr>
        <w:sdtEndPr/>
        <w:sdtContent>
          <w:sdt>
            <w:sdtPr>
              <w:rPr>
                <w:rFonts w:eastAsiaTheme="minorHAnsi" w:cstheme="minorBidi"/>
                <w:sz w:val="20"/>
                <w:szCs w:val="20"/>
              </w:rPr>
              <w:id w:val="276770184"/>
            </w:sdtPr>
            <w:sdtEndPr/>
            <w:sdtContent>
              <w:sdt>
                <w:sdtPr>
                  <w:rPr>
                    <w:rFonts w:eastAsiaTheme="minorHAnsi" w:cstheme="minorBidi"/>
                    <w:sz w:val="20"/>
                    <w:szCs w:val="20"/>
                  </w:rPr>
                  <w:id w:val="142479257"/>
                </w:sdtPr>
                <w:sdtEndPr/>
                <w:sdtContent>
                  <w:r w:rsidR="00F61ADC">
                    <w:rPr>
                      <w:rFonts w:eastAsiaTheme="minorHAnsi" w:cstheme="minorBidi"/>
                      <w:sz w:val="20"/>
                      <w:szCs w:val="20"/>
                    </w:rPr>
                    <w:t>20</w:t>
                  </w:r>
                  <w:r w:rsidR="00850EC4">
                    <w:rPr>
                      <w:rFonts w:eastAsiaTheme="minorHAnsi" w:cstheme="minorBidi"/>
                      <w:sz w:val="20"/>
                      <w:szCs w:val="20"/>
                    </w:rPr>
                    <w:t xml:space="preserve"> March</w:t>
                  </w:r>
                  <w:r w:rsidR="00D56155" w:rsidRPr="00C912C6">
                    <w:rPr>
                      <w:rFonts w:eastAsiaTheme="minorHAnsi" w:cstheme="minorBidi"/>
                      <w:sz w:val="20"/>
                      <w:szCs w:val="20"/>
                    </w:rPr>
                    <w:t xml:space="preserve"> </w:t>
                  </w:r>
                  <w:r w:rsidR="00602D60" w:rsidRPr="00C912C6">
                    <w:rPr>
                      <w:rFonts w:eastAsiaTheme="minorHAnsi" w:cstheme="minorBidi"/>
                      <w:sz w:val="20"/>
                      <w:szCs w:val="20"/>
                    </w:rPr>
                    <w:t>2018</w:t>
                  </w:r>
                </w:sdtContent>
              </w:sdt>
            </w:sdtContent>
          </w:sdt>
        </w:sdtContent>
      </w:sdt>
    </w:p>
    <w:p w14:paraId="5BB2AD66" w14:textId="77777777" w:rsidR="00E261A4" w:rsidRPr="00C912C6" w:rsidRDefault="00E261A4" w:rsidP="00E261A4">
      <w:pPr>
        <w:jc w:val="center"/>
        <w:rPr>
          <w:rFonts w:eastAsiaTheme="minorHAnsi" w:cstheme="minorBidi"/>
          <w:color w:val="0000FF" w:themeColor="hyperlink"/>
          <w:szCs w:val="22"/>
        </w:rPr>
      </w:pPr>
    </w:p>
    <w:p w14:paraId="5BB2AD67" w14:textId="77777777" w:rsidR="00E261A4" w:rsidRPr="00C912C6" w:rsidRDefault="00E261A4" w:rsidP="00E261A4">
      <w:pPr>
        <w:jc w:val="center"/>
        <w:rPr>
          <w:rFonts w:eastAsiaTheme="minorHAnsi" w:cstheme="minorBidi"/>
        </w:rPr>
      </w:pPr>
    </w:p>
    <w:p w14:paraId="5BB2AD68" w14:textId="77777777" w:rsidR="00E261A4" w:rsidRPr="00C912C6" w:rsidRDefault="00E261A4" w:rsidP="00E261A4">
      <w:pPr>
        <w:shd w:val="clear" w:color="auto" w:fill="D0E7F6"/>
        <w:spacing w:before="240"/>
        <w:jc w:val="center"/>
        <w:rPr>
          <w:rFonts w:eastAsiaTheme="majorEastAsia" w:cstheme="majorBidi"/>
          <w:b/>
          <w:spacing w:val="5"/>
          <w:kern w:val="28"/>
          <w:sz w:val="40"/>
          <w:szCs w:val="40"/>
        </w:rPr>
      </w:pPr>
    </w:p>
    <w:p w14:paraId="5BB2AD69" w14:textId="77777777" w:rsidR="00E261A4" w:rsidRPr="008C3C02" w:rsidRDefault="002C55E4" w:rsidP="00404E50">
      <w:pPr>
        <w:shd w:val="clear" w:color="auto" w:fill="D0E7F6"/>
        <w:spacing w:before="240" w:line="360" w:lineRule="auto"/>
        <w:jc w:val="center"/>
        <w:rPr>
          <w:rFonts w:eastAsia="MS Mincho"/>
          <w:b/>
          <w:bCs/>
          <w:sz w:val="40"/>
          <w:szCs w:val="40"/>
          <w:lang w:eastAsia="de-DE"/>
          <w14:shadow w14:blurRad="50800" w14:dist="38100" w14:dir="0" w14:sx="100000" w14:sy="100000" w14:kx="0" w14:ky="0" w14:algn="l">
            <w14:srgbClr w14:val="000000">
              <w14:alpha w14:val="60000"/>
            </w14:srgbClr>
          </w14:shadow>
        </w:rPr>
      </w:pPr>
      <w:r>
        <w:rPr>
          <w:rFonts w:eastAsia="MS Mincho"/>
          <w:b/>
          <w:bCs/>
          <w:sz w:val="40"/>
          <w:szCs w:val="40"/>
          <w:lang w:eastAsia="de-DE"/>
          <w14:shadow w14:blurRad="50800" w14:dist="38100" w14:dir="0" w14:sx="100000" w14:sy="100000" w14:kx="0" w14:ky="0" w14:algn="l">
            <w14:srgbClr w14:val="000000">
              <w14:alpha w14:val="60000"/>
            </w14:srgbClr>
          </w14:shadow>
        </w:rPr>
        <w:t>Draft</w:t>
      </w:r>
      <w:r w:rsidR="00E261A4" w:rsidRPr="008C3C02">
        <w:rPr>
          <w:rFonts w:eastAsia="MS Mincho"/>
          <w:b/>
          <w:bCs/>
          <w:sz w:val="40"/>
          <w:szCs w:val="40"/>
          <w:lang w:eastAsia="de-DE"/>
          <w14:shadow w14:blurRad="50800" w14:dist="38100" w14:dir="0" w14:sx="100000" w14:sy="100000" w14:kx="0" w14:ky="0" w14:algn="l">
            <w14:srgbClr w14:val="000000">
              <w14:alpha w14:val="60000"/>
            </w14:srgbClr>
          </w14:shadow>
        </w:rPr>
        <w:t xml:space="preserve"> </w:t>
      </w:r>
      <w:r>
        <w:rPr>
          <w:rFonts w:eastAsia="MS Mincho"/>
          <w:b/>
          <w:bCs/>
          <w:sz w:val="40"/>
          <w:szCs w:val="40"/>
          <w:lang w:eastAsia="de-DE"/>
          <w14:shadow w14:blurRad="50800" w14:dist="38100" w14:dir="0" w14:sx="100000" w14:sy="100000" w14:kx="0" w14:ky="0" w14:algn="l">
            <w14:srgbClr w14:val="000000">
              <w14:alpha w14:val="60000"/>
            </w14:srgbClr>
          </w14:shadow>
        </w:rPr>
        <w:t>amendment</w:t>
      </w:r>
      <w:r w:rsidR="00E261A4" w:rsidRPr="008C3C02">
        <w:rPr>
          <w:rFonts w:eastAsia="MS Mincho"/>
          <w:b/>
          <w:bCs/>
          <w:sz w:val="40"/>
          <w:szCs w:val="40"/>
          <w:lang w:eastAsia="de-DE"/>
          <w14:shadow w14:blurRad="50800" w14:dist="38100" w14:dir="0" w14:sx="100000" w14:sy="100000" w14:kx="0" w14:ky="0" w14:algn="l">
            <w14:srgbClr w14:val="000000">
              <w14:alpha w14:val="60000"/>
            </w14:srgbClr>
          </w14:shadow>
        </w:rPr>
        <w:t xml:space="preserve"> to Commission Implementing Regulation (EU) 2015/2450 of 2 December 2015 laying down implementing technical standards with regard to </w:t>
      </w:r>
      <w:r w:rsidR="00404E50">
        <w:rPr>
          <w:rFonts w:eastAsia="MS Mincho"/>
          <w:b/>
          <w:bCs/>
          <w:sz w:val="40"/>
          <w:szCs w:val="40"/>
          <w:lang w:eastAsia="de-DE"/>
          <w14:shadow w14:blurRad="50800" w14:dist="38100" w14:dir="0" w14:sx="100000" w14:sy="100000" w14:kx="0" w14:ky="0" w14:algn="l">
            <w14:srgbClr w14:val="000000">
              <w14:alpha w14:val="60000"/>
            </w14:srgbClr>
          </w14:shadow>
        </w:rPr>
        <w:t>the templates for t</w:t>
      </w:r>
      <w:r w:rsidR="007760FA">
        <w:rPr>
          <w:rFonts w:eastAsia="MS Mincho"/>
          <w:b/>
          <w:bCs/>
          <w:sz w:val="40"/>
          <w:szCs w:val="40"/>
          <w:lang w:eastAsia="de-DE"/>
          <w14:shadow w14:blurRad="50800" w14:dist="38100" w14:dir="0" w14:sx="100000" w14:sy="100000" w14:kx="0" w14:ky="0" w14:algn="l">
            <w14:srgbClr w14:val="000000">
              <w14:alpha w14:val="60000"/>
            </w14:srgbClr>
          </w14:shadow>
        </w:rPr>
        <w:t>h</w:t>
      </w:r>
      <w:r w:rsidR="00404E50">
        <w:rPr>
          <w:rFonts w:eastAsia="MS Mincho"/>
          <w:b/>
          <w:bCs/>
          <w:sz w:val="40"/>
          <w:szCs w:val="40"/>
          <w:lang w:eastAsia="de-DE"/>
          <w14:shadow w14:blurRad="50800" w14:dist="38100" w14:dir="0" w14:sx="100000" w14:sy="100000" w14:kx="0" w14:ky="0" w14:algn="l">
            <w14:srgbClr w14:val="000000">
              <w14:alpha w14:val="60000"/>
            </w14:srgbClr>
          </w14:shadow>
        </w:rPr>
        <w:t xml:space="preserve">e submission of information to the supervisory authorities </w:t>
      </w:r>
    </w:p>
    <w:p w14:paraId="5BB2AD6A" w14:textId="77777777" w:rsidR="00E261A4" w:rsidRPr="008C3C02" w:rsidRDefault="00E261A4" w:rsidP="00E261A4"/>
    <w:p w14:paraId="5BB2AD6B" w14:textId="77777777" w:rsidR="00E261A4" w:rsidRPr="00646444" w:rsidRDefault="00E261A4">
      <w:pPr>
        <w:spacing w:after="200" w:line="276" w:lineRule="auto"/>
        <w:rPr>
          <w:b/>
          <w:lang w:eastAsia="de-DE"/>
        </w:rPr>
      </w:pPr>
      <w:r>
        <w:rPr>
          <w:noProof/>
          <w:lang w:val="fi-FI" w:eastAsia="fi-FI"/>
        </w:rPr>
        <w:lastRenderedPageBreak/>
        <mc:AlternateContent>
          <mc:Choice Requires="wpc">
            <w:drawing>
              <wp:inline distT="0" distB="0" distL="0" distR="0" wp14:anchorId="5BB2B141" wp14:editId="5B049621">
                <wp:extent cx="5785485" cy="3559175"/>
                <wp:effectExtent l="0" t="0" r="5715" b="0"/>
                <wp:docPr id="67" name="Canvas 6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74"/>
                        <wps:cNvSpPr>
                          <a:spLocks noChangeArrowheads="1"/>
                        </wps:cNvSpPr>
                        <wps:spPr bwMode="auto">
                          <a:xfrm>
                            <a:off x="8800" y="57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9" w14:textId="77777777" w:rsidR="00B57666" w:rsidRDefault="00B57666" w:rsidP="00E261A4">
                              <w:r>
                                <w:rPr>
                                  <w:rFonts w:ascii="Arial" w:hAnsi="Arial" w:cs="Arial"/>
                                  <w:color w:val="000000"/>
                                  <w:lang w:val="en-US"/>
                                </w:rPr>
                                <w:t xml:space="preserve"> </w:t>
                              </w:r>
                            </w:p>
                          </w:txbxContent>
                        </wps:txbx>
                        <wps:bodyPr rot="0" vert="horz" wrap="none" lIns="0" tIns="0" rIns="0" bIns="0" anchor="t" anchorCtr="0" upright="1">
                          <a:spAutoFit/>
                        </wps:bodyPr>
                      </wps:wsp>
                      <wpg:wgp>
                        <wpg:cNvPr id="2" name="Group 75"/>
                        <wpg:cNvGrpSpPr>
                          <a:grpSpLocks/>
                        </wpg:cNvGrpSpPr>
                        <wpg:grpSpPr bwMode="auto">
                          <a:xfrm>
                            <a:off x="8800" y="175201"/>
                            <a:ext cx="1009716" cy="673105"/>
                            <a:chOff x="14" y="276"/>
                            <a:chExt cx="1590" cy="1060"/>
                          </a:xfrm>
                        </wpg:grpSpPr>
                        <wps:wsp>
                          <wps:cNvPr id="4" name="Freeform 76"/>
                          <wps:cNvSpPr>
                            <a:spLocks/>
                          </wps:cNvSpPr>
                          <wps:spPr bwMode="auto">
                            <a:xfrm>
                              <a:off x="919" y="458"/>
                              <a:ext cx="117" cy="110"/>
                            </a:xfrm>
                            <a:custGeom>
                              <a:avLst/>
                              <a:gdLst>
                                <a:gd name="T0" fmla="*/ 0 w 117"/>
                                <a:gd name="T1" fmla="*/ 42 h 110"/>
                                <a:gd name="T2" fmla="*/ 45 w 117"/>
                                <a:gd name="T3" fmla="*/ 42 h 110"/>
                                <a:gd name="T4" fmla="*/ 59 w 117"/>
                                <a:gd name="T5" fmla="*/ 0 h 110"/>
                                <a:gd name="T6" fmla="*/ 72 w 117"/>
                                <a:gd name="T7" fmla="*/ 42 h 110"/>
                                <a:gd name="T8" fmla="*/ 117 w 117"/>
                                <a:gd name="T9" fmla="*/ 42 h 110"/>
                                <a:gd name="T10" fmla="*/ 81 w 117"/>
                                <a:gd name="T11" fmla="*/ 68 h 110"/>
                                <a:gd name="T12" fmla="*/ 95 w 117"/>
                                <a:gd name="T13" fmla="*/ 110 h 110"/>
                                <a:gd name="T14" fmla="*/ 59 w 117"/>
                                <a:gd name="T15" fmla="*/ 84 h 110"/>
                                <a:gd name="T16" fmla="*/ 23 w 117"/>
                                <a:gd name="T17" fmla="*/ 110 h 110"/>
                                <a:gd name="T18" fmla="*/ 36 w 117"/>
                                <a:gd name="T19" fmla="*/ 68 h 110"/>
                                <a:gd name="T20" fmla="*/ 0 w 117"/>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7" h="110">
                                  <a:moveTo>
                                    <a:pt x="0" y="42"/>
                                  </a:moveTo>
                                  <a:lnTo>
                                    <a:pt x="45" y="42"/>
                                  </a:lnTo>
                                  <a:lnTo>
                                    <a:pt x="59" y="0"/>
                                  </a:lnTo>
                                  <a:lnTo>
                                    <a:pt x="72" y="42"/>
                                  </a:lnTo>
                                  <a:lnTo>
                                    <a:pt x="117" y="42"/>
                                  </a:lnTo>
                                  <a:lnTo>
                                    <a:pt x="81" y="68"/>
                                  </a:lnTo>
                                  <a:lnTo>
                                    <a:pt x="95" y="110"/>
                                  </a:lnTo>
                                  <a:lnTo>
                                    <a:pt x="59" y="84"/>
                                  </a:lnTo>
                                  <a:lnTo>
                                    <a:pt x="23" y="110"/>
                                  </a:lnTo>
                                  <a:lnTo>
                                    <a:pt x="36"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77"/>
                          <wps:cNvSpPr>
                            <a:spLocks/>
                          </wps:cNvSpPr>
                          <wps:spPr bwMode="auto">
                            <a:xfrm>
                              <a:off x="1044" y="582"/>
                              <a:ext cx="116" cy="109"/>
                            </a:xfrm>
                            <a:custGeom>
                              <a:avLst/>
                              <a:gdLst>
                                <a:gd name="T0" fmla="*/ 0 w 116"/>
                                <a:gd name="T1" fmla="*/ 42 h 109"/>
                                <a:gd name="T2" fmla="*/ 45 w 116"/>
                                <a:gd name="T3" fmla="*/ 42 h 109"/>
                                <a:gd name="T4" fmla="*/ 58 w 116"/>
                                <a:gd name="T5" fmla="*/ 0 h 109"/>
                                <a:gd name="T6" fmla="*/ 73 w 116"/>
                                <a:gd name="T7" fmla="*/ 42 h 109"/>
                                <a:gd name="T8" fmla="*/ 116 w 116"/>
                                <a:gd name="T9" fmla="*/ 42 h 109"/>
                                <a:gd name="T10" fmla="*/ 81 w 116"/>
                                <a:gd name="T11" fmla="*/ 68 h 109"/>
                                <a:gd name="T12" fmla="*/ 94 w 116"/>
                                <a:gd name="T13" fmla="*/ 109 h 109"/>
                                <a:gd name="T14" fmla="*/ 58 w 116"/>
                                <a:gd name="T15" fmla="*/ 85 h 109"/>
                                <a:gd name="T16" fmla="*/ 22 w 116"/>
                                <a:gd name="T17" fmla="*/ 109 h 109"/>
                                <a:gd name="T18" fmla="*/ 37 w 116"/>
                                <a:gd name="T19" fmla="*/ 68 h 109"/>
                                <a:gd name="T20" fmla="*/ 0 w 116"/>
                                <a:gd name="T21" fmla="*/ 42 h 10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6" h="109">
                                  <a:moveTo>
                                    <a:pt x="0" y="42"/>
                                  </a:moveTo>
                                  <a:lnTo>
                                    <a:pt x="45" y="42"/>
                                  </a:lnTo>
                                  <a:lnTo>
                                    <a:pt x="58" y="0"/>
                                  </a:lnTo>
                                  <a:lnTo>
                                    <a:pt x="73" y="42"/>
                                  </a:lnTo>
                                  <a:lnTo>
                                    <a:pt x="116" y="42"/>
                                  </a:lnTo>
                                  <a:lnTo>
                                    <a:pt x="81" y="68"/>
                                  </a:lnTo>
                                  <a:lnTo>
                                    <a:pt x="94" y="109"/>
                                  </a:lnTo>
                                  <a:lnTo>
                                    <a:pt x="58" y="85"/>
                                  </a:lnTo>
                                  <a:lnTo>
                                    <a:pt x="22" y="109"/>
                                  </a:lnTo>
                                  <a:lnTo>
                                    <a:pt x="37"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8"/>
                          <wps:cNvSpPr>
                            <a:spLocks/>
                          </wps:cNvSpPr>
                          <wps:spPr bwMode="auto">
                            <a:xfrm>
                              <a:off x="1088" y="751"/>
                              <a:ext cx="115" cy="109"/>
                            </a:xfrm>
                            <a:custGeom>
                              <a:avLst/>
                              <a:gdLst>
                                <a:gd name="T0" fmla="*/ 0 w 115"/>
                                <a:gd name="T1" fmla="*/ 41 h 109"/>
                                <a:gd name="T2" fmla="*/ 44 w 115"/>
                                <a:gd name="T3" fmla="*/ 41 h 109"/>
                                <a:gd name="T4" fmla="*/ 59 w 115"/>
                                <a:gd name="T5" fmla="*/ 0 h 109"/>
                                <a:gd name="T6" fmla="*/ 72 w 115"/>
                                <a:gd name="T7" fmla="*/ 41 h 109"/>
                                <a:gd name="T8" fmla="*/ 115 w 115"/>
                                <a:gd name="T9" fmla="*/ 41 h 109"/>
                                <a:gd name="T10" fmla="*/ 81 w 115"/>
                                <a:gd name="T11" fmla="*/ 67 h 109"/>
                                <a:gd name="T12" fmla="*/ 94 w 115"/>
                                <a:gd name="T13" fmla="*/ 109 h 109"/>
                                <a:gd name="T14" fmla="*/ 59 w 115"/>
                                <a:gd name="T15" fmla="*/ 83 h 109"/>
                                <a:gd name="T16" fmla="*/ 23 w 115"/>
                                <a:gd name="T17" fmla="*/ 109 h 109"/>
                                <a:gd name="T18" fmla="*/ 36 w 115"/>
                                <a:gd name="T19" fmla="*/ 67 h 109"/>
                                <a:gd name="T20" fmla="*/ 0 w 115"/>
                                <a:gd name="T21" fmla="*/ 41 h 10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09">
                                  <a:moveTo>
                                    <a:pt x="0" y="41"/>
                                  </a:moveTo>
                                  <a:lnTo>
                                    <a:pt x="44" y="41"/>
                                  </a:lnTo>
                                  <a:lnTo>
                                    <a:pt x="59" y="0"/>
                                  </a:lnTo>
                                  <a:lnTo>
                                    <a:pt x="72" y="41"/>
                                  </a:lnTo>
                                  <a:lnTo>
                                    <a:pt x="115" y="41"/>
                                  </a:lnTo>
                                  <a:lnTo>
                                    <a:pt x="81" y="67"/>
                                  </a:lnTo>
                                  <a:lnTo>
                                    <a:pt x="94" y="109"/>
                                  </a:lnTo>
                                  <a:lnTo>
                                    <a:pt x="59" y="83"/>
                                  </a:lnTo>
                                  <a:lnTo>
                                    <a:pt x="23" y="109"/>
                                  </a:lnTo>
                                  <a:lnTo>
                                    <a:pt x="36" y="67"/>
                                  </a:lnTo>
                                  <a:lnTo>
                                    <a:pt x="0" y="41"/>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9"/>
                          <wps:cNvSpPr>
                            <a:spLocks/>
                          </wps:cNvSpPr>
                          <wps:spPr bwMode="auto">
                            <a:xfrm>
                              <a:off x="1044" y="919"/>
                              <a:ext cx="116" cy="110"/>
                            </a:xfrm>
                            <a:custGeom>
                              <a:avLst/>
                              <a:gdLst>
                                <a:gd name="T0" fmla="*/ 0 w 116"/>
                                <a:gd name="T1" fmla="*/ 42 h 110"/>
                                <a:gd name="T2" fmla="*/ 45 w 116"/>
                                <a:gd name="T3" fmla="*/ 42 h 110"/>
                                <a:gd name="T4" fmla="*/ 58 w 116"/>
                                <a:gd name="T5" fmla="*/ 0 h 110"/>
                                <a:gd name="T6" fmla="*/ 73 w 116"/>
                                <a:gd name="T7" fmla="*/ 42 h 110"/>
                                <a:gd name="T8" fmla="*/ 116 w 116"/>
                                <a:gd name="T9" fmla="*/ 42 h 110"/>
                                <a:gd name="T10" fmla="*/ 81 w 116"/>
                                <a:gd name="T11" fmla="*/ 68 h 110"/>
                                <a:gd name="T12" fmla="*/ 94 w 116"/>
                                <a:gd name="T13" fmla="*/ 110 h 110"/>
                                <a:gd name="T14" fmla="*/ 58 w 116"/>
                                <a:gd name="T15" fmla="*/ 84 h 110"/>
                                <a:gd name="T16" fmla="*/ 22 w 116"/>
                                <a:gd name="T17" fmla="*/ 110 h 110"/>
                                <a:gd name="T18" fmla="*/ 37 w 116"/>
                                <a:gd name="T19" fmla="*/ 68 h 110"/>
                                <a:gd name="T20" fmla="*/ 0 w 116"/>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6" h="110">
                                  <a:moveTo>
                                    <a:pt x="0" y="42"/>
                                  </a:moveTo>
                                  <a:lnTo>
                                    <a:pt x="45" y="42"/>
                                  </a:lnTo>
                                  <a:lnTo>
                                    <a:pt x="58" y="0"/>
                                  </a:lnTo>
                                  <a:lnTo>
                                    <a:pt x="73" y="42"/>
                                  </a:lnTo>
                                  <a:lnTo>
                                    <a:pt x="116" y="42"/>
                                  </a:lnTo>
                                  <a:lnTo>
                                    <a:pt x="81" y="68"/>
                                  </a:lnTo>
                                  <a:lnTo>
                                    <a:pt x="94" y="110"/>
                                  </a:lnTo>
                                  <a:lnTo>
                                    <a:pt x="58" y="84"/>
                                  </a:lnTo>
                                  <a:lnTo>
                                    <a:pt x="22" y="110"/>
                                  </a:lnTo>
                                  <a:lnTo>
                                    <a:pt x="37"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0"/>
                          <wps:cNvSpPr>
                            <a:spLocks/>
                          </wps:cNvSpPr>
                          <wps:spPr bwMode="auto">
                            <a:xfrm>
                              <a:off x="919" y="1043"/>
                              <a:ext cx="117" cy="110"/>
                            </a:xfrm>
                            <a:custGeom>
                              <a:avLst/>
                              <a:gdLst>
                                <a:gd name="T0" fmla="*/ 0 w 117"/>
                                <a:gd name="T1" fmla="*/ 42 h 110"/>
                                <a:gd name="T2" fmla="*/ 45 w 117"/>
                                <a:gd name="T3" fmla="*/ 42 h 110"/>
                                <a:gd name="T4" fmla="*/ 59 w 117"/>
                                <a:gd name="T5" fmla="*/ 0 h 110"/>
                                <a:gd name="T6" fmla="*/ 72 w 117"/>
                                <a:gd name="T7" fmla="*/ 42 h 110"/>
                                <a:gd name="T8" fmla="*/ 117 w 117"/>
                                <a:gd name="T9" fmla="*/ 42 h 110"/>
                                <a:gd name="T10" fmla="*/ 81 w 117"/>
                                <a:gd name="T11" fmla="*/ 68 h 110"/>
                                <a:gd name="T12" fmla="*/ 95 w 117"/>
                                <a:gd name="T13" fmla="*/ 110 h 110"/>
                                <a:gd name="T14" fmla="*/ 59 w 117"/>
                                <a:gd name="T15" fmla="*/ 84 h 110"/>
                                <a:gd name="T16" fmla="*/ 23 w 117"/>
                                <a:gd name="T17" fmla="*/ 110 h 110"/>
                                <a:gd name="T18" fmla="*/ 36 w 117"/>
                                <a:gd name="T19" fmla="*/ 68 h 110"/>
                                <a:gd name="T20" fmla="*/ 0 w 117"/>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7" h="110">
                                  <a:moveTo>
                                    <a:pt x="0" y="42"/>
                                  </a:moveTo>
                                  <a:lnTo>
                                    <a:pt x="45" y="42"/>
                                  </a:lnTo>
                                  <a:lnTo>
                                    <a:pt x="59" y="0"/>
                                  </a:lnTo>
                                  <a:lnTo>
                                    <a:pt x="72" y="42"/>
                                  </a:lnTo>
                                  <a:lnTo>
                                    <a:pt x="117" y="42"/>
                                  </a:lnTo>
                                  <a:lnTo>
                                    <a:pt x="81" y="68"/>
                                  </a:lnTo>
                                  <a:lnTo>
                                    <a:pt x="95" y="110"/>
                                  </a:lnTo>
                                  <a:lnTo>
                                    <a:pt x="59" y="84"/>
                                  </a:lnTo>
                                  <a:lnTo>
                                    <a:pt x="23" y="110"/>
                                  </a:lnTo>
                                  <a:lnTo>
                                    <a:pt x="36"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1"/>
                          <wps:cNvSpPr>
                            <a:spLocks/>
                          </wps:cNvSpPr>
                          <wps:spPr bwMode="auto">
                            <a:xfrm>
                              <a:off x="752" y="1086"/>
                              <a:ext cx="115" cy="111"/>
                            </a:xfrm>
                            <a:custGeom>
                              <a:avLst/>
                              <a:gdLst>
                                <a:gd name="T0" fmla="*/ 0 w 115"/>
                                <a:gd name="T1" fmla="*/ 42 h 111"/>
                                <a:gd name="T2" fmla="*/ 44 w 115"/>
                                <a:gd name="T3" fmla="*/ 42 h 111"/>
                                <a:gd name="T4" fmla="*/ 57 w 115"/>
                                <a:gd name="T5" fmla="*/ 0 h 111"/>
                                <a:gd name="T6" fmla="*/ 70 w 115"/>
                                <a:gd name="T7" fmla="*/ 42 h 111"/>
                                <a:gd name="T8" fmla="*/ 115 w 115"/>
                                <a:gd name="T9" fmla="*/ 42 h 111"/>
                                <a:gd name="T10" fmla="*/ 79 w 115"/>
                                <a:gd name="T11" fmla="*/ 70 h 111"/>
                                <a:gd name="T12" fmla="*/ 93 w 115"/>
                                <a:gd name="T13" fmla="*/ 111 h 111"/>
                                <a:gd name="T14" fmla="*/ 57 w 115"/>
                                <a:gd name="T15" fmla="*/ 86 h 111"/>
                                <a:gd name="T16" fmla="*/ 21 w 115"/>
                                <a:gd name="T17" fmla="*/ 111 h 111"/>
                                <a:gd name="T18" fmla="*/ 36 w 115"/>
                                <a:gd name="T19" fmla="*/ 70 h 111"/>
                                <a:gd name="T20" fmla="*/ 0 w 115"/>
                                <a:gd name="T21" fmla="*/ 42 h 11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11">
                                  <a:moveTo>
                                    <a:pt x="0" y="42"/>
                                  </a:moveTo>
                                  <a:lnTo>
                                    <a:pt x="44" y="42"/>
                                  </a:lnTo>
                                  <a:lnTo>
                                    <a:pt x="57" y="0"/>
                                  </a:lnTo>
                                  <a:lnTo>
                                    <a:pt x="70" y="42"/>
                                  </a:lnTo>
                                  <a:lnTo>
                                    <a:pt x="115" y="42"/>
                                  </a:lnTo>
                                  <a:lnTo>
                                    <a:pt x="79" y="70"/>
                                  </a:lnTo>
                                  <a:lnTo>
                                    <a:pt x="93" y="111"/>
                                  </a:lnTo>
                                  <a:lnTo>
                                    <a:pt x="57" y="86"/>
                                  </a:lnTo>
                                  <a:lnTo>
                                    <a:pt x="21" y="111"/>
                                  </a:lnTo>
                                  <a:lnTo>
                                    <a:pt x="36" y="70"/>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2"/>
                          <wps:cNvSpPr>
                            <a:spLocks/>
                          </wps:cNvSpPr>
                          <wps:spPr bwMode="auto">
                            <a:xfrm>
                              <a:off x="583" y="1043"/>
                              <a:ext cx="115" cy="110"/>
                            </a:xfrm>
                            <a:custGeom>
                              <a:avLst/>
                              <a:gdLst>
                                <a:gd name="T0" fmla="*/ 0 w 115"/>
                                <a:gd name="T1" fmla="*/ 42 h 110"/>
                                <a:gd name="T2" fmla="*/ 45 w 115"/>
                                <a:gd name="T3" fmla="*/ 42 h 110"/>
                                <a:gd name="T4" fmla="*/ 58 w 115"/>
                                <a:gd name="T5" fmla="*/ 0 h 110"/>
                                <a:gd name="T6" fmla="*/ 72 w 115"/>
                                <a:gd name="T7" fmla="*/ 42 h 110"/>
                                <a:gd name="T8" fmla="*/ 115 w 115"/>
                                <a:gd name="T9" fmla="*/ 42 h 110"/>
                                <a:gd name="T10" fmla="*/ 81 w 115"/>
                                <a:gd name="T11" fmla="*/ 68 h 110"/>
                                <a:gd name="T12" fmla="*/ 94 w 115"/>
                                <a:gd name="T13" fmla="*/ 110 h 110"/>
                                <a:gd name="T14" fmla="*/ 58 w 115"/>
                                <a:gd name="T15" fmla="*/ 84 h 110"/>
                                <a:gd name="T16" fmla="*/ 21 w 115"/>
                                <a:gd name="T17" fmla="*/ 110 h 110"/>
                                <a:gd name="T18" fmla="*/ 36 w 115"/>
                                <a:gd name="T19" fmla="*/ 68 h 110"/>
                                <a:gd name="T20" fmla="*/ 0 w 115"/>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10">
                                  <a:moveTo>
                                    <a:pt x="0" y="42"/>
                                  </a:moveTo>
                                  <a:lnTo>
                                    <a:pt x="45" y="42"/>
                                  </a:lnTo>
                                  <a:lnTo>
                                    <a:pt x="58" y="0"/>
                                  </a:lnTo>
                                  <a:lnTo>
                                    <a:pt x="72" y="42"/>
                                  </a:lnTo>
                                  <a:lnTo>
                                    <a:pt x="115" y="42"/>
                                  </a:lnTo>
                                  <a:lnTo>
                                    <a:pt x="81" y="68"/>
                                  </a:lnTo>
                                  <a:lnTo>
                                    <a:pt x="94" y="110"/>
                                  </a:lnTo>
                                  <a:lnTo>
                                    <a:pt x="58" y="84"/>
                                  </a:lnTo>
                                  <a:lnTo>
                                    <a:pt x="21" y="110"/>
                                  </a:lnTo>
                                  <a:lnTo>
                                    <a:pt x="36"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83"/>
                          <wps:cNvSpPr>
                            <a:spLocks/>
                          </wps:cNvSpPr>
                          <wps:spPr bwMode="auto">
                            <a:xfrm>
                              <a:off x="459" y="919"/>
                              <a:ext cx="115" cy="110"/>
                            </a:xfrm>
                            <a:custGeom>
                              <a:avLst/>
                              <a:gdLst>
                                <a:gd name="T0" fmla="*/ 0 w 115"/>
                                <a:gd name="T1" fmla="*/ 42 h 110"/>
                                <a:gd name="T2" fmla="*/ 43 w 115"/>
                                <a:gd name="T3" fmla="*/ 42 h 110"/>
                                <a:gd name="T4" fmla="*/ 57 w 115"/>
                                <a:gd name="T5" fmla="*/ 0 h 110"/>
                                <a:gd name="T6" fmla="*/ 70 w 115"/>
                                <a:gd name="T7" fmla="*/ 42 h 110"/>
                                <a:gd name="T8" fmla="*/ 115 w 115"/>
                                <a:gd name="T9" fmla="*/ 42 h 110"/>
                                <a:gd name="T10" fmla="*/ 79 w 115"/>
                                <a:gd name="T11" fmla="*/ 68 h 110"/>
                                <a:gd name="T12" fmla="*/ 94 w 115"/>
                                <a:gd name="T13" fmla="*/ 110 h 110"/>
                                <a:gd name="T14" fmla="*/ 57 w 115"/>
                                <a:gd name="T15" fmla="*/ 84 h 110"/>
                                <a:gd name="T16" fmla="*/ 21 w 115"/>
                                <a:gd name="T17" fmla="*/ 110 h 110"/>
                                <a:gd name="T18" fmla="*/ 34 w 115"/>
                                <a:gd name="T19" fmla="*/ 68 h 110"/>
                                <a:gd name="T20" fmla="*/ 0 w 115"/>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10">
                                  <a:moveTo>
                                    <a:pt x="0" y="42"/>
                                  </a:moveTo>
                                  <a:lnTo>
                                    <a:pt x="43" y="42"/>
                                  </a:lnTo>
                                  <a:lnTo>
                                    <a:pt x="57" y="0"/>
                                  </a:lnTo>
                                  <a:lnTo>
                                    <a:pt x="70" y="42"/>
                                  </a:lnTo>
                                  <a:lnTo>
                                    <a:pt x="115" y="42"/>
                                  </a:lnTo>
                                  <a:lnTo>
                                    <a:pt x="79" y="68"/>
                                  </a:lnTo>
                                  <a:lnTo>
                                    <a:pt x="94" y="110"/>
                                  </a:lnTo>
                                  <a:lnTo>
                                    <a:pt x="57" y="84"/>
                                  </a:lnTo>
                                  <a:lnTo>
                                    <a:pt x="21" y="110"/>
                                  </a:lnTo>
                                  <a:lnTo>
                                    <a:pt x="34"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84"/>
                          <wps:cNvSpPr>
                            <a:spLocks/>
                          </wps:cNvSpPr>
                          <wps:spPr bwMode="auto">
                            <a:xfrm>
                              <a:off x="414" y="751"/>
                              <a:ext cx="115" cy="109"/>
                            </a:xfrm>
                            <a:custGeom>
                              <a:avLst/>
                              <a:gdLst>
                                <a:gd name="T0" fmla="*/ 0 w 115"/>
                                <a:gd name="T1" fmla="*/ 41 h 109"/>
                                <a:gd name="T2" fmla="*/ 45 w 115"/>
                                <a:gd name="T3" fmla="*/ 41 h 109"/>
                                <a:gd name="T4" fmla="*/ 59 w 115"/>
                                <a:gd name="T5" fmla="*/ 0 h 109"/>
                                <a:gd name="T6" fmla="*/ 72 w 115"/>
                                <a:gd name="T7" fmla="*/ 41 h 109"/>
                                <a:gd name="T8" fmla="*/ 115 w 115"/>
                                <a:gd name="T9" fmla="*/ 41 h 109"/>
                                <a:gd name="T10" fmla="*/ 81 w 115"/>
                                <a:gd name="T11" fmla="*/ 67 h 109"/>
                                <a:gd name="T12" fmla="*/ 94 w 115"/>
                                <a:gd name="T13" fmla="*/ 109 h 109"/>
                                <a:gd name="T14" fmla="*/ 59 w 115"/>
                                <a:gd name="T15" fmla="*/ 83 h 109"/>
                                <a:gd name="T16" fmla="*/ 23 w 115"/>
                                <a:gd name="T17" fmla="*/ 109 h 109"/>
                                <a:gd name="T18" fmla="*/ 36 w 115"/>
                                <a:gd name="T19" fmla="*/ 67 h 109"/>
                                <a:gd name="T20" fmla="*/ 0 w 115"/>
                                <a:gd name="T21" fmla="*/ 41 h 10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09">
                                  <a:moveTo>
                                    <a:pt x="0" y="41"/>
                                  </a:moveTo>
                                  <a:lnTo>
                                    <a:pt x="45" y="41"/>
                                  </a:lnTo>
                                  <a:lnTo>
                                    <a:pt x="59" y="0"/>
                                  </a:lnTo>
                                  <a:lnTo>
                                    <a:pt x="72" y="41"/>
                                  </a:lnTo>
                                  <a:lnTo>
                                    <a:pt x="115" y="41"/>
                                  </a:lnTo>
                                  <a:lnTo>
                                    <a:pt x="81" y="67"/>
                                  </a:lnTo>
                                  <a:lnTo>
                                    <a:pt x="94" y="109"/>
                                  </a:lnTo>
                                  <a:lnTo>
                                    <a:pt x="59" y="83"/>
                                  </a:lnTo>
                                  <a:lnTo>
                                    <a:pt x="23" y="109"/>
                                  </a:lnTo>
                                  <a:lnTo>
                                    <a:pt x="36" y="67"/>
                                  </a:lnTo>
                                  <a:lnTo>
                                    <a:pt x="0" y="41"/>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85"/>
                          <wps:cNvSpPr>
                            <a:spLocks/>
                          </wps:cNvSpPr>
                          <wps:spPr bwMode="auto">
                            <a:xfrm>
                              <a:off x="459" y="582"/>
                              <a:ext cx="115" cy="109"/>
                            </a:xfrm>
                            <a:custGeom>
                              <a:avLst/>
                              <a:gdLst>
                                <a:gd name="T0" fmla="*/ 0 w 115"/>
                                <a:gd name="T1" fmla="*/ 42 h 109"/>
                                <a:gd name="T2" fmla="*/ 43 w 115"/>
                                <a:gd name="T3" fmla="*/ 42 h 109"/>
                                <a:gd name="T4" fmla="*/ 57 w 115"/>
                                <a:gd name="T5" fmla="*/ 0 h 109"/>
                                <a:gd name="T6" fmla="*/ 70 w 115"/>
                                <a:gd name="T7" fmla="*/ 42 h 109"/>
                                <a:gd name="T8" fmla="*/ 115 w 115"/>
                                <a:gd name="T9" fmla="*/ 42 h 109"/>
                                <a:gd name="T10" fmla="*/ 79 w 115"/>
                                <a:gd name="T11" fmla="*/ 68 h 109"/>
                                <a:gd name="T12" fmla="*/ 94 w 115"/>
                                <a:gd name="T13" fmla="*/ 109 h 109"/>
                                <a:gd name="T14" fmla="*/ 57 w 115"/>
                                <a:gd name="T15" fmla="*/ 85 h 109"/>
                                <a:gd name="T16" fmla="*/ 21 w 115"/>
                                <a:gd name="T17" fmla="*/ 109 h 109"/>
                                <a:gd name="T18" fmla="*/ 34 w 115"/>
                                <a:gd name="T19" fmla="*/ 68 h 109"/>
                                <a:gd name="T20" fmla="*/ 0 w 115"/>
                                <a:gd name="T21" fmla="*/ 42 h 10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09">
                                  <a:moveTo>
                                    <a:pt x="0" y="42"/>
                                  </a:moveTo>
                                  <a:lnTo>
                                    <a:pt x="43" y="42"/>
                                  </a:lnTo>
                                  <a:lnTo>
                                    <a:pt x="57" y="0"/>
                                  </a:lnTo>
                                  <a:lnTo>
                                    <a:pt x="70" y="42"/>
                                  </a:lnTo>
                                  <a:lnTo>
                                    <a:pt x="115" y="42"/>
                                  </a:lnTo>
                                  <a:lnTo>
                                    <a:pt x="79" y="68"/>
                                  </a:lnTo>
                                  <a:lnTo>
                                    <a:pt x="94" y="109"/>
                                  </a:lnTo>
                                  <a:lnTo>
                                    <a:pt x="57" y="85"/>
                                  </a:lnTo>
                                  <a:lnTo>
                                    <a:pt x="21" y="109"/>
                                  </a:lnTo>
                                  <a:lnTo>
                                    <a:pt x="34"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6"/>
                          <wps:cNvSpPr>
                            <a:spLocks/>
                          </wps:cNvSpPr>
                          <wps:spPr bwMode="auto">
                            <a:xfrm>
                              <a:off x="583" y="458"/>
                              <a:ext cx="115" cy="110"/>
                            </a:xfrm>
                            <a:custGeom>
                              <a:avLst/>
                              <a:gdLst>
                                <a:gd name="T0" fmla="*/ 0 w 115"/>
                                <a:gd name="T1" fmla="*/ 42 h 110"/>
                                <a:gd name="T2" fmla="*/ 45 w 115"/>
                                <a:gd name="T3" fmla="*/ 42 h 110"/>
                                <a:gd name="T4" fmla="*/ 58 w 115"/>
                                <a:gd name="T5" fmla="*/ 0 h 110"/>
                                <a:gd name="T6" fmla="*/ 72 w 115"/>
                                <a:gd name="T7" fmla="*/ 42 h 110"/>
                                <a:gd name="T8" fmla="*/ 115 w 115"/>
                                <a:gd name="T9" fmla="*/ 42 h 110"/>
                                <a:gd name="T10" fmla="*/ 81 w 115"/>
                                <a:gd name="T11" fmla="*/ 68 h 110"/>
                                <a:gd name="T12" fmla="*/ 94 w 115"/>
                                <a:gd name="T13" fmla="*/ 110 h 110"/>
                                <a:gd name="T14" fmla="*/ 58 w 115"/>
                                <a:gd name="T15" fmla="*/ 84 h 110"/>
                                <a:gd name="T16" fmla="*/ 21 w 115"/>
                                <a:gd name="T17" fmla="*/ 110 h 110"/>
                                <a:gd name="T18" fmla="*/ 36 w 115"/>
                                <a:gd name="T19" fmla="*/ 68 h 110"/>
                                <a:gd name="T20" fmla="*/ 0 w 115"/>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10">
                                  <a:moveTo>
                                    <a:pt x="0" y="42"/>
                                  </a:moveTo>
                                  <a:lnTo>
                                    <a:pt x="45" y="42"/>
                                  </a:lnTo>
                                  <a:lnTo>
                                    <a:pt x="58" y="0"/>
                                  </a:lnTo>
                                  <a:lnTo>
                                    <a:pt x="72" y="42"/>
                                  </a:lnTo>
                                  <a:lnTo>
                                    <a:pt x="115" y="42"/>
                                  </a:lnTo>
                                  <a:lnTo>
                                    <a:pt x="81" y="68"/>
                                  </a:lnTo>
                                  <a:lnTo>
                                    <a:pt x="94" y="110"/>
                                  </a:lnTo>
                                  <a:lnTo>
                                    <a:pt x="58" y="84"/>
                                  </a:lnTo>
                                  <a:lnTo>
                                    <a:pt x="21" y="110"/>
                                  </a:lnTo>
                                  <a:lnTo>
                                    <a:pt x="36"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87"/>
                          <wps:cNvSpPr>
                            <a:spLocks/>
                          </wps:cNvSpPr>
                          <wps:spPr bwMode="auto">
                            <a:xfrm>
                              <a:off x="752" y="413"/>
                              <a:ext cx="115" cy="111"/>
                            </a:xfrm>
                            <a:custGeom>
                              <a:avLst/>
                              <a:gdLst>
                                <a:gd name="T0" fmla="*/ 0 w 115"/>
                                <a:gd name="T1" fmla="*/ 42 h 111"/>
                                <a:gd name="T2" fmla="*/ 44 w 115"/>
                                <a:gd name="T3" fmla="*/ 42 h 111"/>
                                <a:gd name="T4" fmla="*/ 57 w 115"/>
                                <a:gd name="T5" fmla="*/ 0 h 111"/>
                                <a:gd name="T6" fmla="*/ 70 w 115"/>
                                <a:gd name="T7" fmla="*/ 42 h 111"/>
                                <a:gd name="T8" fmla="*/ 115 w 115"/>
                                <a:gd name="T9" fmla="*/ 42 h 111"/>
                                <a:gd name="T10" fmla="*/ 79 w 115"/>
                                <a:gd name="T11" fmla="*/ 69 h 111"/>
                                <a:gd name="T12" fmla="*/ 93 w 115"/>
                                <a:gd name="T13" fmla="*/ 111 h 111"/>
                                <a:gd name="T14" fmla="*/ 57 w 115"/>
                                <a:gd name="T15" fmla="*/ 85 h 111"/>
                                <a:gd name="T16" fmla="*/ 21 w 115"/>
                                <a:gd name="T17" fmla="*/ 111 h 111"/>
                                <a:gd name="T18" fmla="*/ 36 w 115"/>
                                <a:gd name="T19" fmla="*/ 69 h 111"/>
                                <a:gd name="T20" fmla="*/ 0 w 115"/>
                                <a:gd name="T21" fmla="*/ 42 h 11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11">
                                  <a:moveTo>
                                    <a:pt x="0" y="42"/>
                                  </a:moveTo>
                                  <a:lnTo>
                                    <a:pt x="44" y="42"/>
                                  </a:lnTo>
                                  <a:lnTo>
                                    <a:pt x="57" y="0"/>
                                  </a:lnTo>
                                  <a:lnTo>
                                    <a:pt x="70" y="42"/>
                                  </a:lnTo>
                                  <a:lnTo>
                                    <a:pt x="115" y="42"/>
                                  </a:lnTo>
                                  <a:lnTo>
                                    <a:pt x="79" y="69"/>
                                  </a:lnTo>
                                  <a:lnTo>
                                    <a:pt x="93" y="111"/>
                                  </a:lnTo>
                                  <a:lnTo>
                                    <a:pt x="57" y="85"/>
                                  </a:lnTo>
                                  <a:lnTo>
                                    <a:pt x="21" y="111"/>
                                  </a:lnTo>
                                  <a:lnTo>
                                    <a:pt x="36" y="69"/>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88"/>
                          <wps:cNvSpPr>
                            <a:spLocks noChangeArrowheads="1"/>
                          </wps:cNvSpPr>
                          <wps:spPr bwMode="auto">
                            <a:xfrm>
                              <a:off x="52" y="301"/>
                              <a:ext cx="1515" cy="1009"/>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89"/>
                          <wps:cNvSpPr>
                            <a:spLocks noChangeArrowheads="1"/>
                          </wps:cNvSpPr>
                          <wps:spPr bwMode="auto">
                            <a:xfrm>
                              <a:off x="14" y="276"/>
                              <a:ext cx="1590" cy="10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 name="Rectangle 90"/>
                        <wps:cNvSpPr>
                          <a:spLocks noChangeArrowheads="1"/>
                        </wps:cNvSpPr>
                        <wps:spPr bwMode="auto">
                          <a:xfrm>
                            <a:off x="1017208" y="71235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A" w14:textId="77777777" w:rsidR="00B57666" w:rsidRDefault="00B57666" w:rsidP="00E261A4">
                              <w:r>
                                <w:rPr>
                                  <w:rFonts w:ascii="Arial" w:hAnsi="Arial" w:cs="Arial"/>
                                  <w:color w:val="000000"/>
                                  <w:lang w:val="en-US"/>
                                </w:rPr>
                                <w:t xml:space="preserve"> </w:t>
                              </w:r>
                            </w:p>
                          </w:txbxContent>
                        </wps:txbx>
                        <wps:bodyPr rot="0" vert="horz" wrap="none" lIns="0" tIns="0" rIns="0" bIns="0" anchor="t" anchorCtr="0" upright="1">
                          <a:spAutoFit/>
                        </wps:bodyPr>
                      </wps:wsp>
                      <wps:wsp>
                        <wps:cNvPr id="19" name="Rectangle 91"/>
                        <wps:cNvSpPr>
                          <a:spLocks noChangeArrowheads="1"/>
                        </wps:cNvSpPr>
                        <wps:spPr bwMode="auto">
                          <a:xfrm>
                            <a:off x="1162008" y="179688"/>
                            <a:ext cx="1896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B" w14:textId="77777777" w:rsidR="00B57666" w:rsidRDefault="00B57666" w:rsidP="00E261A4">
                              <w:r>
                                <w:rPr>
                                  <w:rFonts w:ascii="Arial" w:hAnsi="Arial" w:cs="Arial"/>
                                  <w:color w:val="000000"/>
                                  <w:lang w:val="en-US"/>
                                </w:rPr>
                                <w:t>EUROPEAN COMMISSION</w:t>
                              </w:r>
                            </w:p>
                          </w:txbxContent>
                        </wps:txbx>
                        <wps:bodyPr rot="0" vert="horz" wrap="none" lIns="0" tIns="0" rIns="0" bIns="0" anchor="t" anchorCtr="0" upright="1">
                          <a:spAutoFit/>
                        </wps:bodyPr>
                      </wps:wsp>
                      <wps:wsp>
                        <wps:cNvPr id="20" name="Rectangle 92"/>
                        <wps:cNvSpPr>
                          <a:spLocks noChangeArrowheads="1"/>
                        </wps:cNvSpPr>
                        <wps:spPr bwMode="auto">
                          <a:xfrm>
                            <a:off x="3060722" y="179688"/>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C" w14:textId="77777777" w:rsidR="00B57666" w:rsidRDefault="00B57666" w:rsidP="00E261A4">
                              <w:r>
                                <w:rPr>
                                  <w:rFonts w:ascii="Arial" w:hAnsi="Arial" w:cs="Arial"/>
                                  <w:color w:val="000000"/>
                                  <w:lang w:val="en-US"/>
                                </w:rPr>
                                <w:t xml:space="preserve"> </w:t>
                              </w:r>
                            </w:p>
                          </w:txbxContent>
                        </wps:txbx>
                        <wps:bodyPr rot="0" vert="horz" wrap="none" lIns="0" tIns="0" rIns="0" bIns="0" anchor="t" anchorCtr="0" upright="1">
                          <a:spAutoFit/>
                        </wps:bodyPr>
                      </wps:wsp>
                      <wps:wsp>
                        <wps:cNvPr id="21" name="Rectangle 93"/>
                        <wps:cNvSpPr>
                          <a:spLocks noChangeArrowheads="1"/>
                        </wps:cNvSpPr>
                        <wps:spPr bwMode="auto">
                          <a:xfrm>
                            <a:off x="5742940" y="179688"/>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D" w14:textId="77777777" w:rsidR="00B57666" w:rsidRDefault="00B57666" w:rsidP="00E261A4">
                              <w:r>
                                <w:rPr>
                                  <w:rFonts w:ascii="Arial" w:hAnsi="Arial" w:cs="Arial"/>
                                  <w:color w:val="000000"/>
                                  <w:lang w:val="en-US"/>
                                </w:rPr>
                                <w:t xml:space="preserve"> </w:t>
                              </w:r>
                            </w:p>
                          </w:txbxContent>
                        </wps:txbx>
                        <wps:bodyPr rot="0" vert="horz" wrap="none" lIns="0" tIns="0" rIns="0" bIns="0" anchor="t" anchorCtr="0" upright="1">
                          <a:spAutoFit/>
                        </wps:bodyPr>
                      </wps:wsp>
                      <wps:wsp>
                        <wps:cNvPr id="22" name="Rectangle 94"/>
                        <wps:cNvSpPr>
                          <a:spLocks noChangeArrowheads="1"/>
                        </wps:cNvSpPr>
                        <wps:spPr bwMode="auto">
                          <a:xfrm>
                            <a:off x="3251223" y="1092208"/>
                            <a:ext cx="923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E" w14:textId="77777777" w:rsidR="00B57666" w:rsidRDefault="00B57666" w:rsidP="00E261A4">
                              <w:r>
                                <w:rPr>
                                  <w:color w:val="000000"/>
                                  <w:lang w:val="en-US"/>
                                </w:rPr>
                                <w:t>Brussels, XXX</w:t>
                              </w:r>
                            </w:p>
                          </w:txbxContent>
                        </wps:txbx>
                        <wps:bodyPr rot="0" vert="horz" wrap="none" lIns="0" tIns="0" rIns="0" bIns="0" anchor="t" anchorCtr="0" upright="1">
                          <a:spAutoFit/>
                        </wps:bodyPr>
                      </wps:wsp>
                      <wps:wsp>
                        <wps:cNvPr id="23" name="Rectangle 95"/>
                        <wps:cNvSpPr>
                          <a:spLocks noChangeArrowheads="1"/>
                        </wps:cNvSpPr>
                        <wps:spPr bwMode="auto">
                          <a:xfrm>
                            <a:off x="4173830" y="1092208"/>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F" w14:textId="77777777" w:rsidR="00B57666" w:rsidRDefault="00B57666" w:rsidP="00E261A4">
                              <w:r>
                                <w:rPr>
                                  <w:color w:val="000000"/>
                                  <w:lang w:val="en-US"/>
                                </w:rPr>
                                <w:t xml:space="preserve"> </w:t>
                              </w:r>
                            </w:p>
                          </w:txbxContent>
                        </wps:txbx>
                        <wps:bodyPr rot="0" vert="horz" wrap="none" lIns="0" tIns="0" rIns="0" bIns="0" anchor="t" anchorCtr="0" upright="1">
                          <a:spAutoFit/>
                        </wps:bodyPr>
                      </wps:wsp>
                      <wps:wsp>
                        <wps:cNvPr id="24" name="Rectangle 96"/>
                        <wps:cNvSpPr>
                          <a:spLocks noChangeArrowheads="1"/>
                        </wps:cNvSpPr>
                        <wps:spPr bwMode="auto">
                          <a:xfrm>
                            <a:off x="3251223" y="1267409"/>
                            <a:ext cx="2540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0" w14:textId="77777777" w:rsidR="00B57666" w:rsidRDefault="00B57666" w:rsidP="00E261A4">
                              <w:r>
                                <w:rPr>
                                  <w:color w:val="0000FF"/>
                                  <w:lang w:val="en-US"/>
                                </w:rPr>
                                <w:t>[…]</w:t>
                              </w:r>
                            </w:p>
                          </w:txbxContent>
                        </wps:txbx>
                        <wps:bodyPr rot="0" vert="horz" wrap="none" lIns="0" tIns="0" rIns="0" bIns="0" anchor="t" anchorCtr="0" upright="1">
                          <a:spAutoFit/>
                        </wps:bodyPr>
                      </wps:wsp>
                      <wps:wsp>
                        <wps:cNvPr id="25" name="Rectangle 97"/>
                        <wps:cNvSpPr>
                          <a:spLocks noChangeArrowheads="1"/>
                        </wps:cNvSpPr>
                        <wps:spPr bwMode="auto">
                          <a:xfrm>
                            <a:off x="3507661" y="1267409"/>
                            <a:ext cx="1311989"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1" w14:textId="56F2DCFA" w:rsidR="00B57666" w:rsidRDefault="00B57666" w:rsidP="00E261A4">
                              <w:r>
                                <w:rPr>
                                  <w:color w:val="000000"/>
                                  <w:lang w:val="en-US"/>
                                </w:rPr>
                                <w:t>(2018) XXX draft</w:t>
                              </w:r>
                            </w:p>
                          </w:txbxContent>
                        </wps:txbx>
                        <wps:bodyPr rot="0" vert="horz" wrap="square" lIns="0" tIns="0" rIns="0" bIns="0" anchor="t" anchorCtr="0" upright="1">
                          <a:spAutoFit/>
                        </wps:bodyPr>
                      </wps:wsp>
                      <wps:wsp>
                        <wps:cNvPr id="26" name="Rectangle 98"/>
                        <wps:cNvSpPr>
                          <a:spLocks noChangeArrowheads="1"/>
                        </wps:cNvSpPr>
                        <wps:spPr bwMode="auto">
                          <a:xfrm>
                            <a:off x="4605633" y="1267409"/>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2" w14:textId="77777777" w:rsidR="00B57666" w:rsidRDefault="00B57666" w:rsidP="00E261A4">
                              <w:r>
                                <w:rPr>
                                  <w:color w:val="000000"/>
                                  <w:lang w:val="en-US"/>
                                </w:rPr>
                                <w:t xml:space="preserve"> </w:t>
                              </w:r>
                            </w:p>
                          </w:txbxContent>
                        </wps:txbx>
                        <wps:bodyPr rot="0" vert="horz" wrap="none" lIns="0" tIns="0" rIns="0" bIns="0" anchor="t" anchorCtr="0" upright="1">
                          <a:spAutoFit/>
                        </wps:bodyPr>
                      </wps:wsp>
                      <wps:wsp>
                        <wps:cNvPr id="27" name="Rectangle 99"/>
                        <wps:cNvSpPr>
                          <a:spLocks noChangeArrowheads="1"/>
                        </wps:cNvSpPr>
                        <wps:spPr bwMode="auto">
                          <a:xfrm>
                            <a:off x="3251223" y="1748112"/>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3" w14:textId="77777777" w:rsidR="00B57666" w:rsidRDefault="00B57666" w:rsidP="00E261A4">
                              <w:r>
                                <w:rPr>
                                  <w:color w:val="000000"/>
                                  <w:lang w:val="en-US"/>
                                </w:rPr>
                                <w:t xml:space="preserve"> </w:t>
                              </w:r>
                            </w:p>
                          </w:txbxContent>
                        </wps:txbx>
                        <wps:bodyPr rot="0" vert="horz" wrap="none" lIns="0" tIns="0" rIns="0" bIns="0" anchor="t" anchorCtr="0" upright="1">
                          <a:spAutoFit/>
                        </wps:bodyPr>
                      </wps:wsp>
                      <wps:wsp>
                        <wps:cNvPr id="28" name="Rectangle 100"/>
                        <wps:cNvSpPr>
                          <a:spLocks noChangeArrowheads="1"/>
                        </wps:cNvSpPr>
                        <wps:spPr bwMode="auto">
                          <a:xfrm>
                            <a:off x="3289323" y="1748112"/>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4" w14:textId="77777777" w:rsidR="00B57666" w:rsidRDefault="00B57666" w:rsidP="00E261A4">
                              <w:r>
                                <w:rPr>
                                  <w:color w:val="000000"/>
                                  <w:lang w:val="en-US"/>
                                </w:rPr>
                                <w:t xml:space="preserve"> </w:t>
                              </w:r>
                            </w:p>
                          </w:txbxContent>
                        </wps:txbx>
                        <wps:bodyPr rot="0" vert="horz" wrap="none" lIns="0" tIns="0" rIns="0" bIns="0" anchor="t" anchorCtr="0" upright="1">
                          <a:spAutoFit/>
                        </wps:bodyPr>
                      </wps:wsp>
                      <wps:wsp>
                        <wps:cNvPr id="29" name="Rectangle 101"/>
                        <wps:cNvSpPr>
                          <a:spLocks noChangeArrowheads="1"/>
                        </wps:cNvSpPr>
                        <wps:spPr bwMode="auto">
                          <a:xfrm>
                            <a:off x="748605" y="2305016"/>
                            <a:ext cx="4280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5" w14:textId="77777777" w:rsidR="00B57666" w:rsidRPr="008C3C02" w:rsidRDefault="00B57666" w:rsidP="00E261A4">
                              <w:r>
                                <w:rPr>
                                  <w:b/>
                                  <w:bCs/>
                                  <w:color w:val="000000"/>
                                  <w:lang w:val="en-US"/>
                                </w:rPr>
                                <w:t>COMMISSION IMPLEMENTING REGULATION (EU) No …/..</w:t>
                              </w:r>
                            </w:p>
                          </w:txbxContent>
                        </wps:txbx>
                        <wps:bodyPr rot="0" vert="horz" wrap="none" lIns="0" tIns="0" rIns="0" bIns="0" anchor="t" anchorCtr="0" upright="1">
                          <a:spAutoFit/>
                        </wps:bodyPr>
                      </wps:wsp>
                      <wps:wsp>
                        <wps:cNvPr id="30" name="Rectangle 102"/>
                        <wps:cNvSpPr>
                          <a:spLocks noChangeArrowheads="1"/>
                        </wps:cNvSpPr>
                        <wps:spPr bwMode="auto">
                          <a:xfrm>
                            <a:off x="5032336" y="2305016"/>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6" w14:textId="77777777" w:rsidR="00B57666" w:rsidRDefault="00B57666" w:rsidP="00E261A4">
                              <w:r>
                                <w:rPr>
                                  <w:b/>
                                  <w:bCs/>
                                  <w:color w:val="000000"/>
                                  <w:lang w:val="en-US"/>
                                </w:rPr>
                                <w:t xml:space="preserve"> </w:t>
                              </w:r>
                            </w:p>
                          </w:txbxContent>
                        </wps:txbx>
                        <wps:bodyPr rot="0" vert="horz" wrap="none" lIns="0" tIns="0" rIns="0" bIns="0" anchor="t" anchorCtr="0" upright="1">
                          <a:spAutoFit/>
                        </wps:bodyPr>
                      </wps:wsp>
                      <wps:wsp>
                        <wps:cNvPr id="31" name="Rectangle 103"/>
                        <wps:cNvSpPr>
                          <a:spLocks noChangeArrowheads="1"/>
                        </wps:cNvSpPr>
                        <wps:spPr bwMode="auto">
                          <a:xfrm>
                            <a:off x="2642819" y="2709519"/>
                            <a:ext cx="342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7" w14:textId="77777777" w:rsidR="00B57666" w:rsidRDefault="00B57666" w:rsidP="00E261A4">
                              <w:r>
                                <w:rPr>
                                  <w:b/>
                                  <w:bCs/>
                                  <w:color w:val="000000"/>
                                  <w:lang w:val="en-US"/>
                                </w:rPr>
                                <w:t>of [  ]</w:t>
                              </w:r>
                            </w:p>
                          </w:txbxContent>
                        </wps:txbx>
                        <wps:bodyPr rot="0" vert="horz" wrap="none" lIns="0" tIns="0" rIns="0" bIns="0" anchor="t" anchorCtr="0" upright="1">
                          <a:spAutoFit/>
                        </wps:bodyPr>
                      </wps:wsp>
                      <wps:wsp>
                        <wps:cNvPr id="64" name="Rectangle 104"/>
                        <wps:cNvSpPr>
                          <a:spLocks noChangeArrowheads="1"/>
                        </wps:cNvSpPr>
                        <wps:spPr bwMode="auto">
                          <a:xfrm>
                            <a:off x="3138122" y="2709519"/>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8" w14:textId="77777777" w:rsidR="00B57666" w:rsidRDefault="00B57666" w:rsidP="00E261A4">
                              <w:r>
                                <w:rPr>
                                  <w:b/>
                                  <w:bCs/>
                                  <w:color w:val="000000"/>
                                  <w:lang w:val="en-US"/>
                                </w:rPr>
                                <w:t xml:space="preserve"> </w:t>
                              </w:r>
                            </w:p>
                          </w:txbxContent>
                        </wps:txbx>
                        <wps:bodyPr rot="0" vert="horz" wrap="none" lIns="0" tIns="0" rIns="0" bIns="0" anchor="t" anchorCtr="0" upright="1">
                          <a:spAutoFit/>
                        </wps:bodyPr>
                      </wps:wsp>
                      <wps:wsp>
                        <wps:cNvPr id="65" name="Rectangle 105"/>
                        <wps:cNvSpPr>
                          <a:spLocks noChangeArrowheads="1"/>
                        </wps:cNvSpPr>
                        <wps:spPr bwMode="auto">
                          <a:xfrm>
                            <a:off x="2810520" y="3113422"/>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9" w14:textId="77777777" w:rsidR="00B57666" w:rsidRDefault="00B57666" w:rsidP="00E261A4">
                              <w:r>
                                <w:rPr>
                                  <w:b/>
                                  <w:bCs/>
                                  <w:color w:val="000000"/>
                                  <w:lang w:val="en-US"/>
                                </w:rPr>
                                <w:t xml:space="preserve"> </w:t>
                              </w:r>
                            </w:p>
                          </w:txbxContent>
                        </wps:txbx>
                        <wps:bodyPr rot="0" vert="horz" wrap="none" lIns="0" tIns="0" rIns="0" bIns="0" anchor="t" anchorCtr="0" upright="1">
                          <a:spAutoFit/>
                        </wps:bodyPr>
                      </wps:wsp>
                      <wps:wsp>
                        <wps:cNvPr id="66" name="Rectangle 106"/>
                        <wps:cNvSpPr>
                          <a:spLocks noChangeArrowheads="1"/>
                        </wps:cNvSpPr>
                        <wps:spPr bwMode="auto">
                          <a:xfrm>
                            <a:off x="3010521" y="3113422"/>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A" w14:textId="77777777" w:rsidR="00B57666" w:rsidRDefault="00B57666" w:rsidP="00E261A4">
                              <w:r>
                                <w:rPr>
                                  <w:b/>
                                  <w:bCs/>
                                  <w:color w:val="000000"/>
                                  <w:lang w:val="en-US"/>
                                </w:rPr>
                                <w:t xml:space="preserve"> </w:t>
                              </w:r>
                            </w:p>
                          </w:txbxContent>
                        </wps:txbx>
                        <wps:bodyPr rot="0" vert="horz" wrap="none" lIns="0" tIns="0" rIns="0" bIns="0" anchor="t" anchorCtr="0" upright="1">
                          <a:spAutoFit/>
                        </wps:bodyPr>
                      </wps:wsp>
                    </wpc:wpc>
                  </a:graphicData>
                </a:graphic>
              </wp:inline>
            </w:drawing>
          </mc:Choice>
          <mc:Fallback>
            <w:pict>
              <v:group w14:anchorId="5BB2B141" id="Canvas 67" o:spid="_x0000_s1026" editas="canvas" style="width:455.55pt;height:280.25pt;mso-position-horizontal-relative:char;mso-position-vertical-relative:line" coordsize="57854,3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kaIBMAAMXpAAAOAAAAZHJzL2Uyb0RvYy54bWzsXW1v2zgS/n7A/QfBHw9wrfcXo+miTeJi&#10;gd7eYjf3AxRbsYW1JZ+kxuku9r/f8E0mRVGSU0fNC/uhVqzxaDQkh/NwZsj3Pz3stsZ9UpRpnl1M&#10;rHfmxEiyZb5Ks/XF5L83i2k4McoqzlbxNs+Si8m3pJz89OGf/3h/2M8TO9/k21VSGMAkK+eH/cVk&#10;U1X7+WxWLjfJLi7f5fskg5t3ebGLK/izWM9WRXwA7rvtzDZNf3bIi9W+yJdJWcK3V+Tm5APmf3eX&#10;LKv/3N2VSWVsLyYgW4X/L/D/t+j/2Yf38XxdxPtNuqRixI+QYhenGTy0ZnUVV7HxtUglVrt0WeRl&#10;fle9W+a7WX53ly4T/A7wNpbZeJvLOLuPS/wyS9AOExCuzsj3do3kzvJFut2CNmbAfY6+Q58HaJ8E&#10;vjzsoXXKfd1O5fc9//dNvE/wa5Xz5S/3vxZGuoLOMzGyeAd95DdotThbbxMjcFEDoacD2e/7Xwsk&#10;arn/ki//KI0sv9wAWfKxKPLDJolXIJWF6OEVuB+gP0r4qXF7+He+Avbx1yrHbfVwV+wQQ2gF4+Fi&#10;EoYm9JBvFxMvgAvgE8+Th8pYwi3X9lxvYizhphV4to9vz+I547Avyupzku8MdHExKeAF8BPi+y9l&#10;hSSK54xEUHY832bCF0BIvoEnw0+ZDLgn/RWZ0XV4HbpT1/avp655dTX9uLh0p/4ChLpyri4vr6y/&#10;0XMtd75JV6skQ23KerXlDms0Or5If6z7dZlv0xVih0Qqi/Xt5bYw7mMYVQv8D+sd7hzJZqIYWAnw&#10;Vo1XsmzX/GRH04UfBlN34XrTKDDDqWlFnyLfdCP3aiG+0pc0S77/lYzDxSTybA+3Eid0491M/E9+&#10;t3i+SyuwW9t0B/2mJornqBteZyvceao43ZJrThVI/KMqoLlZQ+NOi/op6e/Vw+0DcEGd9zZffYPu&#10;W+TQs6CDgrGFi01e/DkxDmC4LiYZWNaJsf05gwGAbBy7KNjFLbuIsyX88GJSTQxyeVkRW/h1X6Tr&#10;DfC1iEb2H2GQLFLcd48y0KEFlgBJtp4f1keTAOa+YbtPMnWfi/zrHp6N2B5Ngs1MAr5tBB5qCkry&#10;udgzi7BGl9gooLHWvI/+xhSn2AA0zE1sTY5WwDLNKLB8Ygf8wLFMLE88X25gkkEmxHKxAbEDn9iP&#10;5eaaWhDLi6BpsAExG+YDC0wFJC3+5KYWxCSmdlEkCZpcDSKxYDhrS0uU+hiTGlkRVojrhUQh0Nux&#10;QbWsgGrDatrS5VdiS5GhYPYT5tUVNYfrFRX9BvR5t9vCbP2vmWEaBwPxBFERLSOBKaUmcW1jAzRs&#10;yq9poI8dabx2Pg5Po+ADOq35eFE7H5hDahqzXRzoXjVJYLezAd3VNKrXAr+rpgHNtDOC1qmJVIxA&#10;Y0ei0GpnZPGa9sP2V7N4VUcKVVu8rqG5FKyGaNvi1R26Ck68wm1H8Xq8xtVC8Tp3fAUrXucqTdm8&#10;zhV92+ZVrmo8m1e5afhoqjJ8z3OogToOFZvXezclr/tuSr4Buin5Vuim5Juim5Jvjm5Kvk06KR2x&#10;YTr06fDN082zs43ARahtX7wh7iTMOA8ZtYdwBXM5zL430NbI+u3zEk1FyDyCu3pDPGL8C3SXI3cE&#10;chACkTvIhMIzga5B7grk0AcQOZ4AW8mJa8WEgeZF5NhAt5L7AndoOUQeKYUJBHJkohA9WCGV9KH4&#10;A/q2YGxUP4jEH9D3BZOi+AH0DF77yE3AIilfGTqI8AP6zjBjqp4gti+yEegJYAe4HxDl0r6BcEgT&#10;+BYTA4DvLfoN9JW4Ql2KXSKvGM/MG/RJXmiX3yc3OaaoUL8iT3Vt+tDj7W3GkyG4BNLVdOwu+9xj&#10;Zh5xD5gLwG6yT0IUkMbqYYXl7n9iCMMSqHzsj4Cy2KPYJ3lkRKSn3oKSjIofYpSqpEKWFR7ZxwxM&#10;8gDJGuonYsOjUUvigVs3KXzJu1I1wEfvjBraC6Azo3Z9DPwBb52iHBXief04FhSsAG+9iK3839e4&#10;SBhmiyzXhXYluM31AjSyCXajdwh+o3eGYrgsRxjurhvDjbCsA0OpiTWwTTw31rBMlxhpL8TGicNt&#10;DLNZJjOubOGGHyEngg3Jg+InfOKPkcfxgARM2dHhJh6wxId3xFR8eBfMC7GnKfEBxdfPwm60LA7v&#10;dQXE95XY8P6WShze07Is4vlKjHgnS8WoDWxIjFrAhvxqIthw21Ukgg0zQhChhdUQbYtgw1Nw4hVu&#10;E3Qnvx6vcRBHwYrXuUPwncyK1zkBG/LrtYANiVEL2GhhxPfuTpdXg4163aILQsA8wI3gLkre9nRq&#10;3ulsI5jSNNiQkI8GGzdPBjbAICKwAcYEuaJHNEH88Ia3e7wtuusDwQZBWD1ggzjrvWCDOOs9ZAPB&#10;BnFbjs4Jezn2SbESET9kCJTdZZ+ECi34ILBBrDOMZ3abfRIyB+aYfhjUUD9hATw12GhGcJ88aKbB&#10;RiM23h5DhmHZBBsY6Z8fbIRkOAZeM0iEHEES5zkj2KCBpuNyLT/hu1a7i8hP9S7xgCU+AthQ8BHc&#10;XxLZkPicCjaI7yux4V1f1Wvxjq9lERAlMeIdXxWjNrAhMRLBRtCu6TawIXPida3264doWwQbjkIo&#10;AWwQdCcLxWtcLRSvcxrZkFnxOvcVmmoBGxIjEWwoOqWObAyBEDbfJt3AQIMNEjch3piObNRxpdcT&#10;2YBJqh9ssHCKEmyQDuIyOuZYs0/qrcPAAwe7B2wQZ72HFcxxmFcPGQMbLODE5GGfRK6ISN+HD1hk&#10;g8XHGBP2ScEGAUt9zFhko1syCjZEtWqw0ZIuqsHG84hsgOvUBBvY5T8/2KCRDZROheO2xzQq8PEw&#10;2ABflkSBx4lskMd9f2RD5iO4v0MjGzIb3vcdHtmQ+fCO7wmRDZkRfHNczKVpVNIyuwg2BqVRDYps&#10;DEujUmhbBBuD0qgGRTaUQvE6PyGyIeu8BWxIKhfBhiK3T4MNDTaIeZXzonQa1Y1Oo2pJo4IZaLQ0&#10;KrCY/WDjx0U2iGVWBiMgORyJ35dGRSMbPcx0ZOOFlQPpyMagyAaMkQbYCLHLf26wwUo2IJ0Kg38+&#10;jQoAz9nBBl4U4IGEENlQ+WOcL+0qCgn41XaSbiQ7iALY0DUbNEVVaA0+iKRrNqDUSNdsEDt0Y/MY&#10;uzO2YPNBpm5KHvt1U+rIxg3xiHTNBiuA0TUbumajr8yCRTZ0zYZcpa5rNjqq7N9SzQbMrU2wgeNy&#10;5wYbUGSPob9lhnRh9hjZYGlUdVHfGSIbUqpJC9jAL8q7wLwHPCiNioAWiY8ANkjCviSPlEZF3p4X&#10;h/e6AlIbLLHh/S2KfSRxeE9rWBqV4r0AVh0jG4EiP0yIbIDYqBRfEklMo1JlLPHADpgoWA3RthjZ&#10;8BWceIXbpP5dUjjazqBO1VcLxet8UBqVSlMtkQ1JprbIhqRyHdnQkQ0d2YAqal0gDslKBuwGVPQW&#10;iNM0KrDf31OzAQYaFv17Kig8sKv9kQ2aOsRq0lmSEvskyUp1GlU3WUAStwKWT8GYsE+aRkUzn8gc&#10;po5sEPGJc6OkQoYaXpJOiEoymkbVI1mrLoCnrtnQNRviJl/PpUAc+Y9NtIHH6LnRhhfSUdsS2qjR&#10;Bhv3I6EN/DjevRfQhqK4gfeAB4U2SGaP5CHKaEMSh3d+6XZUEhve91WJw3u+p6ANSSABbdA8Kkki&#10;AW2oFuxFtKGojxErxJUpSwLaUGhbRBuD8qiGoQ3VHlm8zgehDZWmHos2pMbTaEOjDY02NNo47sM8&#10;HG2MEdoAi9mPNmCG7gcuA9EGK9ro2Y6KYKXe0AYRvy+PiqENbJ370EbPRlkabTybbZWhJfV2VPxe&#10;8O0V4sg1bKINnOh0brTh0khjS9HG8wQbivX2k8HG4NCG5B4KYGN4aEPiwzu+5wMbg0IbKhf6ycCG&#10;Qts/FmyowBSfs6PSlAYb6j16eaTdnR3FD4FuSr5NOin13rd0Z13ijekK8ddbIQ6LTN8T2iDLjM81&#10;tNHj0rMKcdABgeos8sE+SQSERmbOBDbIkOqRTIMNDTaGnV/ybEIbsFbQBBsdRxqh8SbAEPTHoLOL&#10;XHryyIvZjmpIZEOx84+w1q5IN5IiG/JupQLY0NtRqbaZHaJtEWzo7ag63Wi99+2QGIgGGxpstB9E&#10;orejaj1oA2d2Klfz6Vpkt0vPDtroZlVHNrrJWGSje9MnBjZ6tqtlRRt6OypdtEE8YnJQnj5ogzss&#10;EaWqNMEGzowRIMUZTvVjkY2WgzZYZKMez+OkUcnevZBGNTiyIfMR3F/FWvupYGNwZEMWh1/WPSGy&#10;ITMS0qhOiGy0cOJVHalW/vkoknqb2SHaFsHGoIM2BqVRDTtoQ/V+/Co6iWzImnpkZKOFEa9yDTZA&#10;A60nGvJt0qklDTY02NBggyvGUO59+yoiG8SgqrESLdrAvpOSihVt9DBzYEqDbDEd2Xgpp9PrNKpB&#10;21GheEMTbOAS7nODDVa00XKEOAMbdaRyHLBBHqdrNuJdgs/oPRY+q4o/BLChazZm6Bh6XGwuZa5Z&#10;PMDTNRuQKS+C644z8PR2VKq4Ckxp+lQ/faofGGs4/RHlNbFT2dGCBDin5z9CHAbt89r7FhZMdM3G&#10;nGRu6TQqnUb1wtKowJ40wQaOK54bbLD9qFyyozm/920NNljYcySwgR+nBBuK5Wh+tV21/9OQtXbR&#10;+Wrds0lIoxoc2SD7ZvCvxTu+J0Q2ZEYC2BgW2cC5Ty2c+GX2SBFEahSIn287KhzZaBGKV/jY21H5&#10;Ck09MrIhv50uEFc58fxY0af6gc9KXFeWESKfy+EKri5ZhtU1G6+4ZuM1b0fls7OEWREG+3zUdlTD&#10;IhvEOisDIOxUv27JNNjQYOOFgQ1wsAjY+C1ZVnG23iYGHPYNtRntaMPI8ssNkCUfiyI/bJJ4VcJe&#10;brh2SvgB+mNQLQfdE9cxqetfb4nrodQXcrR4HXVkKGRflNXnJN8Z6AI28QPR8fwX338pK1LHxUjQ&#10;ClCWL9LtFr6PYc9n4wCH79ieh39Q5tt0hW6ie2Wxvr3cFsZ9vIWzTPE/WhQmkO3SKimMbboDPjVR&#10;PEe6uM50xqLOWFwr9mKASLs01DqO0Dz7UKNVU3bQ3H3ai2DiIkPNZ0nT5xpqpLZUGEDCOFvgf3qc&#10;HQ3RLLbc+SZdrZKMWCYSpMcpOy98zxOo91vPD+s9mV0O5d542G2zcg6zxcVkU1X7+WxWLjfJLi7f&#10;7dKWw4APebGa2aZlDgvbwzJLc8RBVx9vcrNMK7BNkAKW4wPLdrzGIVOu7blsloPVuLMOPmHiw34t&#10;+oZ1ILLY97VILyZ/RWZ0HV6H7tS1/eupa15dTT8uLt3pCztaTXgly3bNT3Y0XfhhMHUXrjeNAjOc&#10;mlb0KfJNN3KvFn8jD6Aeal/SLKG9Eb4c1hvlo6mRcxF5EMbF/sRxTD+VcyGIzywE+wRfCC6ZJ0bG&#10;XPVw+2CkK+qzoXu9VQVZniUTY/tzBmMU5omKXRTs4pZdxNkw57fcoyOtFyl21Y4yUGHBLIxlHyBn&#10;VrIP2A9FQi1/uf99/2uBW3L/JV/+UZ5/RrZ826T2wQoin3je3EJ8GPmBthAKF13lOignUG0h3vf7&#10;ErWFqHclfsMWAi31SxaiVswIFsIxfTNAcQLwINoshPYgTocW2j7E6ZYsVXCqQA4Q8xzYZ6cHUe8j&#10;+JbtQ72/4nH5LKoVM4J98ALXjlyy7qztQ3xIszXBh7s4zXq8cO0/DFi+fDzCqLf+ecv2AWZuyX+o&#10;FTOCfXBsz7LRJizIfzAjG61G4IVwts4e2Y5dL//pNQgxCKAtxJNaiLpe/y1bCBibkoWoFTOChXCt&#10;wAlRTbDKQjhh4OhFyvYooTYQT2og6hq7t2wg6tpDDmLUihnBQAguhA3rkWyLBuZCQBADegGNIGoX&#10;QrsQ8fzEHInHg4w6Mf4tWwiYnSUXolbMGBbCMwPfpyettFkIy7GsKIRoC04y0CZCm4gRTUSdzdZr&#10;IsRD72FGe0WxTlQwLBmJWjUjGAnXNz3foSsRbUZC4wwdypgLKhjNi6iz8HpNxOtNhrBb0hOjWjEj&#10;GAgBZwRuaMEpQsJSpTYQwugYlEbJBfjEZEKdC3FKLgTZBeeYqmQUOeSdg4dwnxRwscmLPyfGoYj3&#10;F5NXbCFa0iktAP7j5VM6dhg5LJqhTYQOd569WuPxKxGkgOytm4iWjEpIgh7RRIBVAKCBoxm2Y3qm&#10;1Sh2cO3Q9HQ8Q6dUcoVfo+EM4tG+cRuBYo3NlQjLHDOp0jPBiaAVva1GQiMNjTR+0FIE2YvnrZuI&#10;lrRKyxwzr9L2wVGwwJuBrAg7MCMPrsXFCMi71EFP7Ub8EDeiziB8w+uVfktehGXWmhljwdJyQkiu&#10;7LAROnNKWQKpM6eeNHMKNs+gy3Jv2US0JEZYsDgw3oIl+BCmh4rIwI2AHAjHBXMhuhHaRGgTIYCt&#10;8RYj6iTCt2wiWtIiLLPWzBheBOxm4dHzVbSJKHRM4znFNOoswudpImBziyVsHrPE9aprCL9u0uVV&#10;XMX833B92M8TO9/k21VSfPi/AAAAAP//AwBQSwMEFAAGAAgAAAAhAMeNsP7ZAAAABQEAAA8AAABk&#10;cnMvZG93bnJldi54bWxMj8FOwzAQRO9I/IO1SNyobaRWEOJUqAghDhxo+YCNvSQR9jqK3Sb9ewwX&#10;uKw0mtHM23q7BC9ONKUhsgG9UiCIbXQDdwY+Ds83dyBSRnboI5OBMyXYNpcXNVYuzvxOp33uRCnh&#10;VKGBPuexkjLZngKmVRyJi/cZp4C5yKmTbsK5lAcvb5XayIADl4UeR9r1ZL/2x2BgJJfPXluipzc1&#10;t2RfXneejbm+Wh4fQGRa8l8YfvALOjSFqY1Hdkl4A+WR/HuLd6+1BtEaWG/UGmRTy//0zTcAAAD/&#10;/wMAUEsBAi0AFAAGAAgAAAAhALaDOJL+AAAA4QEAABMAAAAAAAAAAAAAAAAAAAAAAFtDb250ZW50&#10;X1R5cGVzXS54bWxQSwECLQAUAAYACAAAACEAOP0h/9YAAACUAQAACwAAAAAAAAAAAAAAAAAvAQAA&#10;X3JlbHMvLnJlbHNQSwECLQAUAAYACAAAACEAikUJGiATAADF6QAADgAAAAAAAAAAAAAAAAAuAgAA&#10;ZHJzL2Uyb0RvYy54bWxQSwECLQAUAAYACAAAACEAx42w/tkAAAAFAQAADwAAAAAAAAAAAAAAAAB6&#10;FQAAZHJzL2Rvd25yZXYueG1sUEsFBgAAAAAEAAQA8wAAAI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54;height:35591;visibility:visible;mso-wrap-style:square">
                  <v:fill o:detectmouseclick="t"/>
                  <v:path o:connecttype="none"/>
                </v:shape>
                <v:rect id="Rectangle 74" o:spid="_x0000_s1028" style="position:absolute;left:88;top:5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14:paraId="5BB2B159" w14:textId="77777777" w:rsidR="00B57666" w:rsidRDefault="00B57666" w:rsidP="00E261A4">
                        <w:r>
                          <w:rPr>
                            <w:rFonts w:ascii="Arial" w:hAnsi="Arial" w:cs="Arial"/>
                            <w:color w:val="000000"/>
                            <w:lang w:val="en-US"/>
                          </w:rPr>
                          <w:t xml:space="preserve"> </w:t>
                        </w:r>
                      </w:p>
                    </w:txbxContent>
                  </v:textbox>
                </v:rect>
                <v:group id="Group 75" o:spid="_x0000_s1029" style="position:absolute;left:88;top:1752;width:10097;height:6731" coordorigin="14,276" coordsize="1590,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76" o:spid="_x0000_s1030" style="position:absolute;left:919;top:458;width:117;height:110;visibility:visible;mso-wrap-style:square;v-text-anchor:top" coordsize="11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0sMA&#10;AADaAAAADwAAAGRycy9kb3ducmV2LnhtbESPQWuDQBSE74X+h+UVemvWiJRgs0oJJAohBZMeeny4&#10;ryp134q7VfPvs4VCjsPMfMNs88X0YqLRdZYVrFcRCOLa6o4bBZ+X/csGhPPIGnvLpOBKDvLs8WGL&#10;qbYzVzSdfSMChF2KClrvh1RKV7dk0K3sQBy8bzsa9EGOjdQjzgFuehlH0as02HFYaHGgXUv1z/nX&#10;KLCH46XYfxziUzwl0VL5r6IuS6Wen5b3NxCeFn8P/7dLrSCBvyvhBs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g0sMAAADaAAAADwAAAAAAAAAAAAAAAACYAgAAZHJzL2Rv&#10;d25yZXYueG1sUEsFBgAAAAAEAAQA9QAAAIgDAAAAAA==&#10;" path="m,42r45,l59,,72,42r45,l81,68r14,42l59,84,23,110,36,68,,42e" filled="f" strokeweight=".45pt">
                    <v:path arrowok="t" o:connecttype="custom" o:connectlocs="0,42;45,42;59,0;72,42;117,42;81,68;95,110;59,84;23,110;36,68;0,42" o:connectangles="0,0,0,0,0,0,0,0,0,0,0"/>
                  </v:shape>
                  <v:shape id="Freeform 77" o:spid="_x0000_s1031" style="position:absolute;left:1044;top:582;width:116;height:109;visibility:visible;mso-wrap-style:square;v-text-anchor:top" coordsize="11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tr5sIA&#10;AADaAAAADwAAAGRycy9kb3ducmV2LnhtbESPT2sCMRTE70K/Q3iF3jRr/YOsRimFttKbqyDeHpvn&#10;ZnHzsiRx3X57UxA8DjPzG2a16W0jOvKhdqxgPMpAEJdO11wpOOy/hgsQISJrbByTgj8KsFm/DFaY&#10;a3fjHXVFrESCcMhRgYmxzaUMpSGLYeRa4uSdnbcYk/SV1B5vCW4b+Z5lc2mx5rRgsKVPQ+WluFoF&#10;1/idhWN37L01U7k9//5M5Gmi1Ntr/7EEEamPz/CjvdUKZvB/Jd0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2vmwgAAANoAAAAPAAAAAAAAAAAAAAAAAJgCAABkcnMvZG93&#10;bnJldi54bWxQSwUGAAAAAAQABAD1AAAAhwMAAAAA&#10;" path="m,42r45,l58,,73,42r43,l81,68r13,41l58,85,22,109,37,68,,42e" filled="f" strokeweight=".45pt">
                    <v:path arrowok="t" o:connecttype="custom" o:connectlocs="0,42;45,42;58,0;73,42;116,42;81,68;94,109;58,85;22,109;37,68;0,42" o:connectangles="0,0,0,0,0,0,0,0,0,0,0"/>
                  </v:shape>
                  <v:shape id="Freeform 78" o:spid="_x0000_s1032" style="position:absolute;left:1088;top:751;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DV18QA&#10;AADaAAAADwAAAGRycy9kb3ducmV2LnhtbESPQWvCQBSE74L/YXmCN93YioTUVUQsFQSLttB6e2af&#10;STD7NmTXmPz7riD0OMzMN8x82ZpSNFS7wrKCyTgCQZxaXXCm4PvrfRSDcB5ZY2mZFHTkYLno9+aY&#10;aHvnAzVHn4kAYZeggtz7KpHSpTkZdGNbEQfvYmuDPsg6k7rGe4CbUr5E0UwaLDgs5FjROqf0erwZ&#10;Bavzptnt40Oxfe3i7nS1H5+/0x+lhoN29QbCU+v/w8/2ViuYweNKu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A1dfEAAAA2gAAAA8AAAAAAAAAAAAAAAAAmAIAAGRycy9k&#10;b3ducmV2LnhtbFBLBQYAAAAABAAEAPUAAACJAwAAAAA=&#10;" path="m,41r44,l59,,72,41r43,l81,67r13,42l59,83,23,109,36,67,,41e" filled="f" strokeweight=".45pt">
                    <v:path arrowok="t" o:connecttype="custom" o:connectlocs="0,41;44,41;59,0;72,41;115,41;81,67;94,109;59,83;23,109;36,67;0,41" o:connectangles="0,0,0,0,0,0,0,0,0,0,0"/>
                  </v:shape>
                  <v:shape id="Freeform 79" o:spid="_x0000_s1033" style="position:absolute;left:1044;top:919;width:116;height:110;visibility:visible;mso-wrap-style:square;v-text-anchor:top" coordsize="116,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Kjv8MA&#10;AADaAAAADwAAAGRycy9kb3ducmV2LnhtbESPT2sCMRTE7wW/Q3hCbzWr9I+sRpFCtV4KdUU8PjbP&#10;zeLmZUmirn56IxR6HGbmN8x03tlGnMmH2rGC4SADQVw6XXOlYFt8vYxBhIissXFMCq4UYD7rPU0x&#10;1+7Cv3TexEokCIccFZgY21zKUBqyGAauJU7ewXmLMUlfSe3xkuC2kaMse5cWa04LBlv6NFQeNyer&#10;IOvi+tWOl3sqipHxt7fd6vCzU+q53y0mICJ18T/81/7WCj7gcSXdA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Kjv8MAAADaAAAADwAAAAAAAAAAAAAAAACYAgAAZHJzL2Rv&#10;d25yZXYueG1sUEsFBgAAAAAEAAQA9QAAAIgDAAAAAA==&#10;" path="m,42r45,l58,,73,42r43,l81,68r13,42l58,84,22,110,37,68,,42e" filled="f" strokeweight=".45pt">
                    <v:path arrowok="t" o:connecttype="custom" o:connectlocs="0,42;45,42;58,0;73,42;116,42;81,68;94,110;58,84;22,110;37,68;0,42" o:connectangles="0,0,0,0,0,0,0,0,0,0,0"/>
                  </v:shape>
                  <v:shape id="Freeform 80" o:spid="_x0000_s1034" style="position:absolute;left:919;top:1043;width:117;height:110;visibility:visible;mso-wrap-style:square;v-text-anchor:top" coordsize="11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q174A&#10;AADaAAAADwAAAGRycy9kb3ducmV2LnhtbERPy6rCMBDdX/AfwgjurqlFRKpRRFALouBj4XJoxrbY&#10;TEoTa/17sxBcHs57vuxMJVpqXGlZwWgYgSDOrC45V3C9bP6nIJxH1lhZJgVvcrBc9P7mmGj74hO1&#10;Z5+LEMIuQQWF93UipcsKMuiGtiYO3N02Bn2ATS51g68QbioZR9FEGiw5NBRY07qg7HF+GgV2u7/s&#10;NsdtfIjbcdSd/G2XpalSg363moHw1Pmf+OtOtYKwNVwJN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2C6te+AAAA2gAAAA8AAAAAAAAAAAAAAAAAmAIAAGRycy9kb3ducmV2&#10;LnhtbFBLBQYAAAAABAAEAPUAAACDAwAAAAA=&#10;" path="m,42r45,l59,,72,42r45,l81,68r14,42l59,84,23,110,36,68,,42e" filled="f" strokeweight=".45pt">
                    <v:path arrowok="t" o:connecttype="custom" o:connectlocs="0,42;45,42;59,0;72,42;117,42;81,68;95,110;59,84;23,110;36,68;0,42" o:connectangles="0,0,0,0,0,0,0,0,0,0,0"/>
                  </v:shape>
                  <v:shape id="Freeform 81" o:spid="_x0000_s1035" style="position:absolute;left:752;top:1086;width:115;height:111;visibility:visible;mso-wrap-style:square;v-text-anchor:top" coordsize="115,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vICMUA&#10;AADaAAAADwAAAGRycy9kb3ducmV2LnhtbESPQWvCQBSE7wX/w/KEXqRuLLVodBUbEHLwYgylx0f2&#10;mUSzb0N2jem/7woFj8PMfMOst4NpRE+dqy0rmE0jEMSF1TWXCvLT/m0BwnlkjY1lUvBLDrab0csa&#10;Y23vfKQ+86UIEHYxKqi8b2MpXVGRQTe1LXHwzrYz6IPsSqk7vAe4aeR7FH1KgzWHhQpbSioqrtnN&#10;KJh/J4tLOp8s98f86/Yx6ZPDT5op9ToedisQngb/DP+3U61gCY8r4Qb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8gIxQAAANoAAAAPAAAAAAAAAAAAAAAAAJgCAABkcnMv&#10;ZG93bnJldi54bWxQSwUGAAAAAAQABAD1AAAAigMAAAAA&#10;" path="m,42r44,l57,,70,42r45,l79,70r14,41l57,86,21,111,36,70,,42e" filled="f" strokeweight=".45pt">
                    <v:path arrowok="t" o:connecttype="custom" o:connectlocs="0,42;44,42;57,0;70,42;115,42;79,70;93,111;57,86;21,111;36,70;0,42" o:connectangles="0,0,0,0,0,0,0,0,0,0,0"/>
                  </v:shape>
                  <v:shape id="Freeform 82" o:spid="_x0000_s1036" style="position:absolute;left:583;top:1043;width:115;height:110;visibility:visible;mso-wrap-style:square;v-text-anchor:top" coordsize="11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WFecUA&#10;AADbAAAADwAAAGRycy9kb3ducmV2LnhtbESPQWvCQBCF74X+h2UKXkQ3tbRIdJVSUQRF0MaDtyE7&#10;TYLZ2ZhdNf33zqHQ2wzvzXvfTOedq9WN2lB5NvA6TEAR595WXBjIvpeDMagQkS3WnsnALwWYz56f&#10;pphaf+c93Q6xUBLCIUUDZYxNqnXIS3IYhr4hFu3Htw6jrG2hbYt3CXe1HiXJh3ZYsTSU2NBXSfn5&#10;cHUGNqftgi+Z7p+OfX57X+0StzlnxvReus8JqEhd/Df/Xa+t4Au9/CID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tYV5xQAAANsAAAAPAAAAAAAAAAAAAAAAAJgCAABkcnMv&#10;ZG93bnJldi54bWxQSwUGAAAAAAQABAD1AAAAigMAAAAA&#10;" path="m,42r45,l58,,72,42r43,l81,68r13,42l58,84,21,110,36,68,,42e" filled="f" strokeweight=".45pt">
                    <v:path arrowok="t" o:connecttype="custom" o:connectlocs="0,42;45,42;58,0;72,42;115,42;81,68;94,110;58,84;21,110;36,68;0,42" o:connectangles="0,0,0,0,0,0,0,0,0,0,0"/>
                  </v:shape>
                  <v:shape id="Freeform 83" o:spid="_x0000_s1037" style="position:absolute;left:459;top:919;width:115;height:110;visibility:visible;mso-wrap-style:square;v-text-anchor:top" coordsize="11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kg4sQA&#10;AADbAAAADwAAAGRycy9kb3ducmV2LnhtbERPTWvCQBC9F/wPywi9iG7SUpHoGqRiKSiFajx4G7Jj&#10;EszOptltkv77rlDobR7vc1bpYGrRUesqywriWQSCOLe64kJBdtpNFyCcR9ZYWyYFP+QgXY8eVpho&#10;2/MndUdfiBDCLkEFpfdNIqXLSzLoZrYhDtzVtgZ9gG0hdYt9CDe1fIqiuTRYcWgosaHXkvLb8dso&#10;2F8OW/7K5ORynvDzy9tHZPa3TKnH8bBZgvA0+H/xn/tdh/kx3H8J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5IOLEAAAA2wAAAA8AAAAAAAAAAAAAAAAAmAIAAGRycy9k&#10;b3ducmV2LnhtbFBLBQYAAAAABAAEAPUAAACJAwAAAAA=&#10;" path="m,42r43,l57,,70,42r45,l79,68r15,42l57,84,21,110,34,68,,42e" filled="f" strokeweight=".45pt">
                    <v:path arrowok="t" o:connecttype="custom" o:connectlocs="0,42;43,42;57,0;70,42;115,42;79,68;94,110;57,84;21,110;34,68;0,42" o:connectangles="0,0,0,0,0,0,0,0,0,0,0"/>
                  </v:shape>
                  <v:shape id="Freeform 84" o:spid="_x0000_s1038" style="position:absolute;left:414;top:751;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7H8MQA&#10;AADbAAAADwAAAGRycy9kb3ducmV2LnhtbERP22rCQBB9L/Qflin4VjfVUkJ0DaFUFIQWL6B9m2an&#10;STA7G7JrTP6+WxB8m8O5zjztTS06al1lWcHLOAJBnFtdcaHgsF8+xyCcR9ZYWyYFAzlIF48Pc0y0&#10;vfKWup0vRAhhl6CC0vsmkdLlJRl0Y9sQB+7XtgZ9gG0hdYvXEG5qOYmiN2mw4tBQYkPvJeXn3cUo&#10;yH4+us1nvK3W0yEevs929XV6PSo1euqzGQhPvb+Lb+61DvMn8P9LO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x/DEAAAA2wAAAA8AAAAAAAAAAAAAAAAAmAIAAGRycy9k&#10;b3ducmV2LnhtbFBLBQYAAAAABAAEAPUAAACJAwAAAAA=&#10;" path="m,41r45,l59,,72,41r43,l81,67r13,42l59,83,23,109,36,67,,41e" filled="f" strokeweight=".45pt">
                    <v:path arrowok="t" o:connecttype="custom" o:connectlocs="0,41;45,41;59,0;72,41;115,41;81,67;94,109;59,83;23,109;36,67;0,41" o:connectangles="0,0,0,0,0,0,0,0,0,0,0"/>
                  </v:shape>
                  <v:shape id="Freeform 85" o:spid="_x0000_s1039" style="position:absolute;left:459;top:582;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Jia8QA&#10;AADbAAAADwAAAGRycy9kb3ducmV2LnhtbERPTWvCQBC9C/0PyxR6001VJKSuIZRKBUHRFtreptlp&#10;EszOhuwak3/vCkJv83ifs0x7U4uOWldZVvA8iUAQ51ZXXCj4/FiPYxDOI2usLZOCgRykq4fREhNt&#10;L3yg7ugLEULYJaig9L5JpHR5SQbdxDbEgfuzrUEfYFtI3eIlhJtaTqNoIQ1WHBpKbOi1pPx0PBsF&#10;2e9bt93Fh2ozG+Lh52Tf99/zL6WeHvvsBYSn3v+L7+6NDvNncPslH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SYmvEAAAA2wAAAA8AAAAAAAAAAAAAAAAAmAIAAGRycy9k&#10;b3ducmV2LnhtbFBLBQYAAAAABAAEAPUAAACJAwAAAAA=&#10;" path="m,42r43,l57,,70,42r45,l79,68r15,41l57,85,21,109,34,68,,42e" filled="f" strokeweight=".45pt">
                    <v:path arrowok="t" o:connecttype="custom" o:connectlocs="0,42;43,42;57,0;70,42;115,42;79,68;94,109;57,85;21,109;34,68;0,42" o:connectangles="0,0,0,0,0,0,0,0,0,0,0"/>
                  </v:shape>
                  <v:shape id="Freeform 86" o:spid="_x0000_s1040" style="position:absolute;left:583;top:458;width:115;height:110;visibility:visible;mso-wrap-style:square;v-text-anchor:top" coordsize="11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6DesQA&#10;AADbAAAADwAAAGRycy9kb3ducmV2LnhtbERPS2vCQBC+F/wPyxS8SN34KiXNRsSiFBTBND14G7LT&#10;JJidTbOrpv++WxB6m4/vOcmyN424Uudqywom4wgEcWF1zaWC/GPz9ALCeWSNjWVS8EMOlungIcFY&#10;2xsf6Zr5UoQQdjEqqLxvYyldUZFBN7YtceC+bGfQB9iVUnd4C+GmkdMoepYGaw4NFba0rqg4Zxej&#10;YHfav/F3LkenzxHPFttDZHbnXKnhY796BeGp9//iu/tdh/lz+PslH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Og3rEAAAA2wAAAA8AAAAAAAAAAAAAAAAAmAIAAGRycy9k&#10;b3ducmV2LnhtbFBLBQYAAAAABAAEAPUAAACJAwAAAAA=&#10;" path="m,42r45,l58,,72,42r43,l81,68r13,42l58,84,21,110,36,68,,42e" filled="f" strokeweight=".45pt">
                    <v:path arrowok="t" o:connecttype="custom" o:connectlocs="0,42;45,42;58,0;72,42;115,42;81,68;94,110;58,84;21,110;36,68;0,42" o:connectangles="0,0,0,0,0,0,0,0,0,0,0"/>
                  </v:shape>
                  <v:shape id="Freeform 87" o:spid="_x0000_s1041" style="position:absolute;left:752;top:413;width:115;height:111;visibility:visible;mso-wrap-style:square;v-text-anchor:top" coordsize="115,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b7EsMA&#10;AADbAAAADwAAAGRycy9kb3ducmV2LnhtbERPTWvCQBC9C/0PyxR6kbpRGrGpq2hAyMGLUUqPQ3aa&#10;RLOzIbvG9N93BcHbPN7nLNeDaURPnastK5hOIhDEhdU1lwpOx937AoTzyBoby6TgjxysVy+jJSba&#10;3vhAfe5LEULYJaig8r5NpHRFRQbdxLbEgfu1nUEfYFdK3eEthJtGzqJoLg3WHBoqbCmtqLjkV6Mg&#10;/k4X5ywef+4Op+31Y9yn+58sV+rtddh8gfA0+Kf44c50mB/D/Zdw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b7EsMAAADbAAAADwAAAAAAAAAAAAAAAACYAgAAZHJzL2Rv&#10;d25yZXYueG1sUEsFBgAAAAAEAAQA9QAAAIgDAAAAAA==&#10;" path="m,42r44,l57,,70,42r45,l79,69r14,42l57,85,21,111,36,69,,42e" filled="f" strokeweight=".45pt">
                    <v:path arrowok="t" o:connecttype="custom" o:connectlocs="0,42;44,42;57,0;70,42;115,42;79,69;93,111;57,85;21,111;36,69;0,42" o:connectangles="0,0,0,0,0,0,0,0,0,0,0"/>
                  </v:shape>
                  <v:rect id="Rectangle 88" o:spid="_x0000_s1042" style="position:absolute;left:52;top:301;width:1515;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qJuMMA&#10;AADbAAAADwAAAGRycy9kb3ducmV2LnhtbERPTWvCQBC9F/wPywi9lLqxlBBSV7GVknjw0LTF65Ad&#10;k5DsbMhuTfrvXUHwNo/3OavNZDpxpsE1lhUsFxEI4tLqhisFP9+fzwkI55E1dpZJwT852KxnDytM&#10;tR35i86Fr0QIYZeigtr7PpXSlTUZdAvbEwfuZAeDPsChknrAMYSbTr5EUSwNNhwaauzpo6ayLf6M&#10;ApPssmzfHvLyeHiKI37N+vffo1KP82n7BsLT5O/imzvXYX4M11/CA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qJuMMAAADbAAAADwAAAAAAAAAAAAAAAACYAgAAZHJzL2Rv&#10;d25yZXYueG1sUEsFBgAAAAAEAAQA9QAAAIgDAAAAAA==&#10;" filled="f" strokeweight=".65pt"/>
                  <v:rect id="Rectangle 89" o:spid="_x0000_s1043" style="position:absolute;left:14;top:276;width:1590;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LnP8IA&#10;AADbAAAADwAAAGRycy9kb3ducmV2LnhtbERPTWsCMRC9F/ofwgi9FM3qwZXVKFIo9VCRriIeh824&#10;WdxMliTq+u9NodDbPN7nLFa9bcWNfGgcKxiPMhDEldMN1woO+8/hDESIyBpbx6TgQQFWy9eXBRba&#10;3fmHbmWsRQrhUKACE2NXSBkqQxbDyHXEiTs7bzEm6GupPd5TuG3lJMum0mLDqcFgRx+Gqkt5tQoa&#10;M373k/K43m93+Xfemt3XaXZW6m3Qr+cgIvXxX/zn3ug0P4ffX9I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Iuc/wgAAANsAAAAPAAAAAAAAAAAAAAAAAJgCAABkcnMvZG93&#10;bnJldi54bWxQSwUGAAAAAAQABAD1AAAAhwMAAAAA&#10;" filled="f" strokecolor="white" strokeweight="0"/>
                </v:group>
                <v:rect id="Rectangle 90" o:spid="_x0000_s1044" style="position:absolute;left:10172;top:7123;width:4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5BB2B15A" w14:textId="77777777" w:rsidR="00B57666" w:rsidRDefault="00B57666" w:rsidP="00E261A4">
                        <w:r>
                          <w:rPr>
                            <w:rFonts w:ascii="Arial" w:hAnsi="Arial" w:cs="Arial"/>
                            <w:color w:val="000000"/>
                            <w:lang w:val="en-US"/>
                          </w:rPr>
                          <w:t xml:space="preserve"> </w:t>
                        </w:r>
                      </w:p>
                    </w:txbxContent>
                  </v:textbox>
                </v:rect>
                <v:rect id="Rectangle 91" o:spid="_x0000_s1045" style="position:absolute;left:11620;top:1796;width:189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5BB2B15B" w14:textId="77777777" w:rsidR="00B57666" w:rsidRDefault="00B57666" w:rsidP="00E261A4">
                        <w:r>
                          <w:rPr>
                            <w:rFonts w:ascii="Arial" w:hAnsi="Arial" w:cs="Arial"/>
                            <w:color w:val="000000"/>
                            <w:lang w:val="en-US"/>
                          </w:rPr>
                          <w:t>EUROPEAN COMMISSION</w:t>
                        </w:r>
                      </w:p>
                    </w:txbxContent>
                  </v:textbox>
                </v:rect>
                <v:rect id="Rectangle 92" o:spid="_x0000_s1046" style="position:absolute;left:30607;top:1796;width:4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5BB2B15C" w14:textId="77777777" w:rsidR="00B57666" w:rsidRDefault="00B57666" w:rsidP="00E261A4">
                        <w:r>
                          <w:rPr>
                            <w:rFonts w:ascii="Arial" w:hAnsi="Arial" w:cs="Arial"/>
                            <w:color w:val="000000"/>
                            <w:lang w:val="en-US"/>
                          </w:rPr>
                          <w:t xml:space="preserve"> </w:t>
                        </w:r>
                      </w:p>
                    </w:txbxContent>
                  </v:textbox>
                </v:rect>
                <v:rect id="Rectangle 93" o:spid="_x0000_s1047" style="position:absolute;left:57429;top:1796;width:4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5BB2B15D" w14:textId="77777777" w:rsidR="00B57666" w:rsidRDefault="00B57666" w:rsidP="00E261A4">
                        <w:r>
                          <w:rPr>
                            <w:rFonts w:ascii="Arial" w:hAnsi="Arial" w:cs="Arial"/>
                            <w:color w:val="000000"/>
                            <w:lang w:val="en-US"/>
                          </w:rPr>
                          <w:t xml:space="preserve"> </w:t>
                        </w:r>
                      </w:p>
                    </w:txbxContent>
                  </v:textbox>
                </v:rect>
                <v:rect id="Rectangle 94" o:spid="_x0000_s1048" style="position:absolute;left:32512;top:10922;width:923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5BB2B15E" w14:textId="77777777" w:rsidR="00B57666" w:rsidRDefault="00B57666" w:rsidP="00E261A4">
                        <w:r>
                          <w:rPr>
                            <w:color w:val="000000"/>
                            <w:lang w:val="en-US"/>
                          </w:rPr>
                          <w:t>Brussels, XXX</w:t>
                        </w:r>
                      </w:p>
                    </w:txbxContent>
                  </v:textbox>
                </v:rect>
                <v:rect id="Rectangle 95" o:spid="_x0000_s1049" style="position:absolute;left:41738;top:10922;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5BB2B15F" w14:textId="77777777" w:rsidR="00B57666" w:rsidRDefault="00B57666" w:rsidP="00E261A4">
                        <w:r>
                          <w:rPr>
                            <w:color w:val="000000"/>
                            <w:lang w:val="en-US"/>
                          </w:rPr>
                          <w:t xml:space="preserve"> </w:t>
                        </w:r>
                      </w:p>
                    </w:txbxContent>
                  </v:textbox>
                </v:rect>
                <v:rect id="Rectangle 96" o:spid="_x0000_s1050" style="position:absolute;left:32512;top:12674;width:254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5BB2B160" w14:textId="77777777" w:rsidR="00B57666" w:rsidRDefault="00B57666" w:rsidP="00E261A4">
                        <w:r>
                          <w:rPr>
                            <w:color w:val="0000FF"/>
                            <w:lang w:val="en-US"/>
                          </w:rPr>
                          <w:t>[…]</w:t>
                        </w:r>
                      </w:p>
                    </w:txbxContent>
                  </v:textbox>
                </v:rect>
                <v:rect id="Rectangle 97" o:spid="_x0000_s1051" style="position:absolute;left:35076;top:12674;width:1312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7cUA&#10;AADbAAAADwAAAGRycy9kb3ducmV2LnhtbESPQWvCQBSE7wX/w/IEL0U3Blo0zUZEEDwIxbQHvT2y&#10;r9m02bchu5rYX98tFHocZuYbJt+MthU36n3jWMFykYAgrpxuuFbw/rafr0D4gKyxdUwK7uRhU0we&#10;csy0G/hEtzLUIkLYZ6jAhNBlUvrKkEW/cB1x9D5cbzFE2ddS9zhEuG1lmiTP0mLDccFgRztD1Vd5&#10;tQr2r+eG+FueHterwX1W6aU0x06p2XTcvoAINIb/8F/7oBWkT/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8/txQAAANsAAAAPAAAAAAAAAAAAAAAAAJgCAABkcnMv&#10;ZG93bnJldi54bWxQSwUGAAAAAAQABAD1AAAAigMAAAAA&#10;" filled="f" stroked="f">
                  <v:textbox style="mso-fit-shape-to-text:t" inset="0,0,0,0">
                    <w:txbxContent>
                      <w:p w14:paraId="5BB2B161" w14:textId="56F2DCFA" w:rsidR="00B57666" w:rsidRDefault="00B57666" w:rsidP="00E261A4">
                        <w:r>
                          <w:rPr>
                            <w:color w:val="000000"/>
                            <w:lang w:val="en-US"/>
                          </w:rPr>
                          <w:t>(2018) XXX draft</w:t>
                        </w:r>
                      </w:p>
                    </w:txbxContent>
                  </v:textbox>
                </v:rect>
                <v:rect id="Rectangle 98" o:spid="_x0000_s1052" style="position:absolute;left:46056;top:12674;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5BB2B162" w14:textId="77777777" w:rsidR="00B57666" w:rsidRDefault="00B57666" w:rsidP="00E261A4">
                        <w:r>
                          <w:rPr>
                            <w:color w:val="000000"/>
                            <w:lang w:val="en-US"/>
                          </w:rPr>
                          <w:t xml:space="preserve"> </w:t>
                        </w:r>
                      </w:p>
                    </w:txbxContent>
                  </v:textbox>
                </v:rect>
                <v:rect id="Rectangle 99" o:spid="_x0000_s1053" style="position:absolute;left:32512;top:17481;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5BB2B163" w14:textId="77777777" w:rsidR="00B57666" w:rsidRDefault="00B57666" w:rsidP="00E261A4">
                        <w:r>
                          <w:rPr>
                            <w:color w:val="000000"/>
                            <w:lang w:val="en-US"/>
                          </w:rPr>
                          <w:t xml:space="preserve"> </w:t>
                        </w:r>
                      </w:p>
                    </w:txbxContent>
                  </v:textbox>
                </v:rect>
                <v:rect id="Rectangle 100" o:spid="_x0000_s1054" style="position:absolute;left:32893;top:17481;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5BB2B164" w14:textId="77777777" w:rsidR="00B57666" w:rsidRDefault="00B57666" w:rsidP="00E261A4">
                        <w:r>
                          <w:rPr>
                            <w:color w:val="000000"/>
                            <w:lang w:val="en-US"/>
                          </w:rPr>
                          <w:t xml:space="preserve"> </w:t>
                        </w:r>
                      </w:p>
                    </w:txbxContent>
                  </v:textbox>
                </v:rect>
                <v:rect id="Rectangle 101" o:spid="_x0000_s1055" style="position:absolute;left:7486;top:23050;width:4280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5BB2B165" w14:textId="77777777" w:rsidR="00B57666" w:rsidRPr="008C3C02" w:rsidRDefault="00B57666" w:rsidP="00E261A4">
                        <w:r>
                          <w:rPr>
                            <w:b/>
                            <w:bCs/>
                            <w:color w:val="000000"/>
                            <w:lang w:val="en-US"/>
                          </w:rPr>
                          <w:t>COMMISSION IMPLEMENTING REGULATION (EU) No …/..</w:t>
                        </w:r>
                      </w:p>
                    </w:txbxContent>
                  </v:textbox>
                </v:rect>
                <v:rect id="Rectangle 102" o:spid="_x0000_s1056" style="position:absolute;left:50323;top:23050;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5BB2B166" w14:textId="77777777" w:rsidR="00B57666" w:rsidRDefault="00B57666" w:rsidP="00E261A4">
                        <w:r>
                          <w:rPr>
                            <w:b/>
                            <w:bCs/>
                            <w:color w:val="000000"/>
                            <w:lang w:val="en-US"/>
                          </w:rPr>
                          <w:t xml:space="preserve"> </w:t>
                        </w:r>
                      </w:p>
                    </w:txbxContent>
                  </v:textbox>
                </v:rect>
                <v:rect id="Rectangle 103" o:spid="_x0000_s1057" style="position:absolute;left:26428;top:27095;width:34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5BB2B167" w14:textId="77777777" w:rsidR="00B57666" w:rsidRDefault="00B57666" w:rsidP="00E261A4">
                        <w:r>
                          <w:rPr>
                            <w:b/>
                            <w:bCs/>
                            <w:color w:val="000000"/>
                            <w:lang w:val="en-US"/>
                          </w:rPr>
                          <w:t>of [  ]</w:t>
                        </w:r>
                      </w:p>
                    </w:txbxContent>
                  </v:textbox>
                </v:rect>
                <v:rect id="Rectangle 104" o:spid="_x0000_s1058" style="position:absolute;left:31381;top:27095;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14:paraId="5BB2B168" w14:textId="77777777" w:rsidR="00B57666" w:rsidRDefault="00B57666" w:rsidP="00E261A4">
                        <w:r>
                          <w:rPr>
                            <w:b/>
                            <w:bCs/>
                            <w:color w:val="000000"/>
                            <w:lang w:val="en-US"/>
                          </w:rPr>
                          <w:t xml:space="preserve"> </w:t>
                        </w:r>
                      </w:p>
                    </w:txbxContent>
                  </v:textbox>
                </v:rect>
                <v:rect id="Rectangle 105" o:spid="_x0000_s1059" style="position:absolute;left:28105;top:31134;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14:paraId="5BB2B169" w14:textId="77777777" w:rsidR="00B57666" w:rsidRDefault="00B57666" w:rsidP="00E261A4">
                        <w:r>
                          <w:rPr>
                            <w:b/>
                            <w:bCs/>
                            <w:color w:val="000000"/>
                            <w:lang w:val="en-US"/>
                          </w:rPr>
                          <w:t xml:space="preserve"> </w:t>
                        </w:r>
                      </w:p>
                    </w:txbxContent>
                  </v:textbox>
                </v:rect>
                <v:rect id="Rectangle 106" o:spid="_x0000_s1060" style="position:absolute;left:30105;top:31134;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14:paraId="5BB2B16A" w14:textId="77777777" w:rsidR="00B57666" w:rsidRDefault="00B57666" w:rsidP="00E261A4">
                        <w:r>
                          <w:rPr>
                            <w:b/>
                            <w:bCs/>
                            <w:color w:val="000000"/>
                            <w:lang w:val="en-US"/>
                          </w:rPr>
                          <w:t xml:space="preserve"> </w:t>
                        </w:r>
                      </w:p>
                    </w:txbxContent>
                  </v:textbox>
                </v:rect>
                <w10:anchorlock/>
              </v:group>
            </w:pict>
          </mc:Fallback>
        </mc:AlternateContent>
      </w:r>
      <w:r w:rsidRPr="00646444">
        <w:rPr>
          <w:b/>
          <w:lang w:eastAsia="de-DE"/>
        </w:rPr>
        <w:br w:type="page"/>
      </w:r>
    </w:p>
    <w:p w14:paraId="5BB2AD6C" w14:textId="77777777" w:rsidR="00E261A4" w:rsidRPr="008C3C02" w:rsidRDefault="00E261A4" w:rsidP="00CB5EB9">
      <w:pPr>
        <w:spacing w:before="360"/>
        <w:jc w:val="center"/>
        <w:rPr>
          <w:b/>
          <w:lang w:eastAsia="de-DE"/>
        </w:rPr>
      </w:pPr>
      <w:r w:rsidRPr="008C3C02">
        <w:rPr>
          <w:b/>
          <w:lang w:eastAsia="de-DE"/>
        </w:rPr>
        <w:lastRenderedPageBreak/>
        <w:t xml:space="preserve">COMMISSION IMPLEMENTING REGULATION (EU) …/... </w:t>
      </w:r>
      <w:r w:rsidRPr="0041515A">
        <w:rPr>
          <w:b/>
          <w:lang w:eastAsia="de-DE"/>
        </w:rPr>
        <w:t xml:space="preserve">of XXX </w:t>
      </w:r>
      <w:r w:rsidRPr="004F22C3">
        <w:rPr>
          <w:b/>
          <w:lang w:eastAsia="de-DE"/>
        </w:rPr>
        <w:t xml:space="preserve">amending </w:t>
      </w:r>
      <w:r w:rsidR="00B55C8E" w:rsidRPr="004F22C3">
        <w:rPr>
          <w:b/>
          <w:lang w:eastAsia="de-DE"/>
        </w:rPr>
        <w:t>and correcting</w:t>
      </w:r>
      <w:r w:rsidR="00B55C8E" w:rsidRPr="0041515A">
        <w:rPr>
          <w:b/>
          <w:lang w:eastAsia="de-DE"/>
        </w:rPr>
        <w:t xml:space="preserve"> </w:t>
      </w:r>
      <w:r w:rsidRPr="0041515A">
        <w:rPr>
          <w:b/>
          <w:lang w:eastAsia="de-DE"/>
        </w:rPr>
        <w:t>Implementing Regulation (EU) 2015/245</w:t>
      </w:r>
      <w:r w:rsidR="00B237D1" w:rsidRPr="0041515A">
        <w:rPr>
          <w:b/>
          <w:lang w:eastAsia="de-DE"/>
        </w:rPr>
        <w:t>0</w:t>
      </w:r>
      <w:r w:rsidRPr="0041515A">
        <w:rPr>
          <w:b/>
          <w:lang w:eastAsia="de-DE"/>
        </w:rPr>
        <w:t xml:space="preserve"> </w:t>
      </w:r>
      <w:r w:rsidRPr="0041515A">
        <w:rPr>
          <w:b/>
          <w:bCs/>
          <w:lang w:eastAsia="de-DE"/>
        </w:rPr>
        <w:t>laying down</w:t>
      </w:r>
      <w:r w:rsidRPr="008C3C02">
        <w:rPr>
          <w:b/>
          <w:bCs/>
          <w:lang w:eastAsia="de-DE"/>
        </w:rPr>
        <w:t xml:space="preserve"> implementing technical standards with regard to </w:t>
      </w:r>
      <w:r w:rsidR="00404E50" w:rsidRPr="00EF65A9">
        <w:rPr>
          <w:b/>
          <w:bCs/>
          <w:lang w:eastAsia="de-DE"/>
        </w:rPr>
        <w:t>the templates for t</w:t>
      </w:r>
      <w:r w:rsidR="007760FA">
        <w:rPr>
          <w:b/>
          <w:bCs/>
          <w:lang w:eastAsia="de-DE"/>
        </w:rPr>
        <w:t>h</w:t>
      </w:r>
      <w:r w:rsidR="00404E50" w:rsidRPr="00EF65A9">
        <w:rPr>
          <w:b/>
          <w:bCs/>
          <w:lang w:eastAsia="de-DE"/>
        </w:rPr>
        <w:t>e submission of information to the supervisory authorities</w:t>
      </w:r>
      <w:r w:rsidRPr="00404E50">
        <w:rPr>
          <w:b/>
          <w:bCs/>
          <w:lang w:eastAsia="de-DE"/>
        </w:rPr>
        <w:t xml:space="preserve"> according</w:t>
      </w:r>
      <w:r w:rsidRPr="008C3C02">
        <w:rPr>
          <w:b/>
          <w:lang w:eastAsia="de-DE"/>
        </w:rPr>
        <w:t xml:space="preserve"> to Directive 2009/138/EC of the European Parliament and of the Council</w:t>
      </w:r>
    </w:p>
    <w:p w14:paraId="5BB2AD6D" w14:textId="77777777" w:rsidR="00E261A4" w:rsidRPr="00601DA0" w:rsidRDefault="00E261A4" w:rsidP="00E261A4">
      <w:pPr>
        <w:keepNext/>
        <w:spacing w:before="600" w:line="360" w:lineRule="auto"/>
      </w:pPr>
      <w:r w:rsidRPr="00601DA0">
        <w:t>THE EUROPEAN COMMISSION,</w:t>
      </w:r>
    </w:p>
    <w:p w14:paraId="5BB2AD6E" w14:textId="77777777" w:rsidR="00E261A4" w:rsidRPr="00B979CB" w:rsidRDefault="00E261A4" w:rsidP="00E261A4">
      <w:pPr>
        <w:spacing w:line="360" w:lineRule="auto"/>
        <w:jc w:val="both"/>
      </w:pPr>
      <w:r w:rsidRPr="00B979CB">
        <w:t>Having regard to the Treaty on the Functioning of the European Union,</w:t>
      </w:r>
    </w:p>
    <w:p w14:paraId="5BB2AD6F" w14:textId="77777777" w:rsidR="00E261A4" w:rsidRPr="00B979CB" w:rsidRDefault="00E261A4" w:rsidP="00E261A4">
      <w:pPr>
        <w:spacing w:line="360" w:lineRule="auto"/>
        <w:jc w:val="both"/>
      </w:pPr>
      <w:r w:rsidRPr="00B979CB">
        <w:t>Having regard to Directive 2009/138/EC of 25 November 2009 of the European Parliament and of the Council on the taking up and pursuit of the business of Insurance and Reinsurance (Solvency II)</w:t>
      </w:r>
      <w:r w:rsidRPr="00B979CB">
        <w:rPr>
          <w:vertAlign w:val="superscript"/>
        </w:rPr>
        <w:footnoteReference w:id="2"/>
      </w:r>
      <w:r w:rsidRPr="00B979CB">
        <w:t xml:space="preserve">, and in particular </w:t>
      </w:r>
      <w:r w:rsidR="00B33AC4" w:rsidRPr="00B979CB">
        <w:t>the third subparagraph of Article 35(10), the third subparagraph of Article 244(6) and the second subparagraph of Article 245(6) thereof</w:t>
      </w:r>
      <w:r w:rsidRPr="00B979CB">
        <w:t>,</w:t>
      </w:r>
    </w:p>
    <w:p w14:paraId="5BB2AD70" w14:textId="77777777" w:rsidR="00E261A4" w:rsidRPr="00B979CB" w:rsidRDefault="00E261A4" w:rsidP="00E261A4">
      <w:pPr>
        <w:spacing w:line="360" w:lineRule="auto"/>
      </w:pPr>
      <w:r w:rsidRPr="00B979CB">
        <w:t>Whereas:</w:t>
      </w:r>
    </w:p>
    <w:p w14:paraId="5BB2AD71" w14:textId="77777777" w:rsidR="00624531" w:rsidRPr="00B979CB" w:rsidRDefault="00624531" w:rsidP="00E066F0">
      <w:pPr>
        <w:pStyle w:val="ConsultationItalic"/>
        <w:spacing w:line="360" w:lineRule="auto"/>
        <w:jc w:val="both"/>
        <w:rPr>
          <w:i w:val="0"/>
          <w:noProof w:val="0"/>
        </w:rPr>
      </w:pPr>
      <w:r w:rsidRPr="00B979CB">
        <w:rPr>
          <w:i w:val="0"/>
          <w:noProof w:val="0"/>
        </w:rPr>
        <w:t xml:space="preserve">This Regulation includes amendments in order to facilitate consistent reporting and to improve the quality of the information reported. </w:t>
      </w:r>
    </w:p>
    <w:p w14:paraId="5BB2AD72" w14:textId="77777777" w:rsidR="00C53160" w:rsidRPr="00B979CB" w:rsidRDefault="00E261A4" w:rsidP="00E261A4">
      <w:pPr>
        <w:pStyle w:val="ConsultationItalic"/>
        <w:spacing w:line="360" w:lineRule="auto"/>
        <w:jc w:val="both"/>
        <w:rPr>
          <w:i w:val="0"/>
          <w:noProof w:val="0"/>
        </w:rPr>
      </w:pPr>
      <w:r w:rsidRPr="00B979CB">
        <w:rPr>
          <w:i w:val="0"/>
          <w:noProof w:val="0"/>
        </w:rPr>
        <w:t>Commission Implementing Regulation (EU) 2015/245</w:t>
      </w:r>
      <w:r w:rsidR="00B237D1" w:rsidRPr="00B979CB">
        <w:rPr>
          <w:i w:val="0"/>
          <w:noProof w:val="0"/>
        </w:rPr>
        <w:t>0</w:t>
      </w:r>
      <w:r w:rsidRPr="00B979CB">
        <w:rPr>
          <w:i w:val="0"/>
          <w:noProof w:val="0"/>
        </w:rPr>
        <w:t xml:space="preserve"> includes several minor drafting errors, which should be </w:t>
      </w:r>
      <w:r w:rsidR="006E1AB5" w:rsidRPr="00B979CB">
        <w:rPr>
          <w:i w:val="0"/>
          <w:noProof w:val="0"/>
        </w:rPr>
        <w:t xml:space="preserve">corrected </w:t>
      </w:r>
      <w:r w:rsidRPr="00B979CB">
        <w:rPr>
          <w:i w:val="0"/>
          <w:noProof w:val="0"/>
        </w:rPr>
        <w:t>accordingly.</w:t>
      </w:r>
    </w:p>
    <w:p w14:paraId="5BB2AD73" w14:textId="77777777" w:rsidR="00E261A4" w:rsidRPr="00B979CB" w:rsidRDefault="00E261A4" w:rsidP="00601DA0">
      <w:pPr>
        <w:pStyle w:val="ConsultationItalic"/>
        <w:spacing w:line="360" w:lineRule="auto"/>
        <w:jc w:val="both"/>
        <w:rPr>
          <w:i w:val="0"/>
          <w:noProof w:val="0"/>
        </w:rPr>
      </w:pPr>
      <w:r w:rsidRPr="00B979CB">
        <w:rPr>
          <w:i w:val="0"/>
          <w:noProof w:val="0"/>
        </w:rPr>
        <w:t xml:space="preserve">This Regulation is based on the draft implementing technical standards submitted by the European Supervisory Authority (European Insurance and Occupational Pensions Authority) to the Commission. </w:t>
      </w:r>
    </w:p>
    <w:p w14:paraId="5BB2AD74" w14:textId="77777777" w:rsidR="00E261A4" w:rsidRPr="00B979CB" w:rsidRDefault="00E261A4" w:rsidP="00E261A4">
      <w:pPr>
        <w:numPr>
          <w:ilvl w:val="0"/>
          <w:numId w:val="10"/>
        </w:numPr>
        <w:spacing w:line="360" w:lineRule="auto"/>
        <w:jc w:val="both"/>
        <w:rPr>
          <w:lang w:eastAsia="de-DE"/>
        </w:rPr>
      </w:pPr>
      <w:r w:rsidRPr="00B979CB">
        <w:rPr>
          <w:lang w:eastAsia="de-DE"/>
        </w:rPr>
        <w:t>The European Supervisory Authority (European Insurance and Occupational Pensions Authority) has conducted open public consultations on the draft implementing technical standards on which this Regulation is based, analysed the potential related costs and benefits and requested the opinion of the Insurance and Reinsurance Stakeholder Group established by Article 37 of Regulation (EU) No 1094/2010</w:t>
      </w:r>
      <w:r w:rsidR="00E066F0" w:rsidRPr="00B979CB">
        <w:rPr>
          <w:lang w:eastAsia="de-DE"/>
        </w:rPr>
        <w:t xml:space="preserve"> </w:t>
      </w:r>
      <w:r w:rsidRPr="00B979CB">
        <w:rPr>
          <w:vertAlign w:val="superscript"/>
        </w:rPr>
        <w:footnoteReference w:id="3"/>
      </w:r>
      <w:r w:rsidR="005224E8" w:rsidRPr="00B979CB">
        <w:rPr>
          <w:lang w:eastAsia="de-DE"/>
        </w:rPr>
        <w:t>,</w:t>
      </w:r>
      <w:r w:rsidRPr="00B979CB" w:rsidDel="00854910">
        <w:rPr>
          <w:lang w:eastAsia="de-DE"/>
        </w:rPr>
        <w:t xml:space="preserve"> </w:t>
      </w:r>
    </w:p>
    <w:p w14:paraId="5BB2AD75" w14:textId="77777777" w:rsidR="00E261A4" w:rsidRPr="00884E5E" w:rsidRDefault="00E261A4" w:rsidP="00E261A4">
      <w:pPr>
        <w:pStyle w:val="ConsultationItalic"/>
        <w:numPr>
          <w:ilvl w:val="0"/>
          <w:numId w:val="0"/>
        </w:numPr>
      </w:pPr>
    </w:p>
    <w:p w14:paraId="5BB2AD76" w14:textId="77777777" w:rsidR="00E261A4" w:rsidRPr="00884E5E" w:rsidRDefault="00E261A4" w:rsidP="00E261A4">
      <w:pPr>
        <w:pStyle w:val="ConsultationItalic"/>
        <w:numPr>
          <w:ilvl w:val="0"/>
          <w:numId w:val="0"/>
        </w:numPr>
      </w:pPr>
      <w:r w:rsidRPr="00884E5E">
        <w:t>HAS ADOPTED THIS REGULATION:</w:t>
      </w:r>
    </w:p>
    <w:p w14:paraId="5BB2AD77" w14:textId="77777777" w:rsidR="00E261A4" w:rsidRPr="00F23F46" w:rsidRDefault="00E261A4" w:rsidP="00E261A4">
      <w:pPr>
        <w:pStyle w:val="ti-art"/>
        <w:shd w:val="clear" w:color="auto" w:fill="FFFFFF"/>
        <w:spacing w:before="360" w:beforeAutospacing="0" w:after="120" w:afterAutospacing="0" w:line="312" w:lineRule="atLeast"/>
        <w:jc w:val="center"/>
        <w:textAlignment w:val="baseline"/>
        <w:rPr>
          <w:i/>
          <w:iCs/>
        </w:rPr>
      </w:pPr>
      <w:r w:rsidRPr="00F23F46" w:rsidDel="00182971">
        <w:rPr>
          <w:i/>
          <w:iCs/>
        </w:rPr>
        <w:t xml:space="preserve"> </w:t>
      </w:r>
      <w:r w:rsidR="00B35A16">
        <w:rPr>
          <w:i/>
          <w:iCs/>
        </w:rPr>
        <w:t>Article 1</w:t>
      </w:r>
    </w:p>
    <w:p w14:paraId="5BB2AD78" w14:textId="77777777" w:rsidR="00E261A4" w:rsidRPr="00F23F46" w:rsidRDefault="00B35A16" w:rsidP="00E261A4">
      <w:pPr>
        <w:pStyle w:val="sti-art"/>
        <w:shd w:val="clear" w:color="auto" w:fill="FFFFFF"/>
        <w:spacing w:before="60" w:beforeAutospacing="0" w:after="120" w:afterAutospacing="0" w:line="312" w:lineRule="atLeast"/>
        <w:jc w:val="center"/>
        <w:textAlignment w:val="baseline"/>
        <w:rPr>
          <w:b/>
          <w:bCs/>
        </w:rPr>
      </w:pPr>
      <w:r>
        <w:rPr>
          <w:b/>
          <w:bCs/>
        </w:rPr>
        <w:t>Amending</w:t>
      </w:r>
      <w:r w:rsidR="00E261A4" w:rsidRPr="00F23F46">
        <w:rPr>
          <w:b/>
          <w:bCs/>
        </w:rPr>
        <w:t xml:space="preserve"> provisions</w:t>
      </w:r>
    </w:p>
    <w:p w14:paraId="5CF00D5C" w14:textId="049DE8D9" w:rsidR="00BE5517" w:rsidRDefault="00BE5517" w:rsidP="00AD6775">
      <w:pPr>
        <w:pStyle w:val="ti-art"/>
        <w:numPr>
          <w:ilvl w:val="0"/>
          <w:numId w:val="35"/>
        </w:numPr>
        <w:shd w:val="clear" w:color="auto" w:fill="FFFFFF"/>
        <w:spacing w:before="360" w:after="120" w:line="312" w:lineRule="atLeast"/>
        <w:jc w:val="both"/>
        <w:textAlignment w:val="baseline"/>
        <w:rPr>
          <w:iCs/>
        </w:rPr>
      </w:pPr>
      <w:r>
        <w:rPr>
          <w:iCs/>
        </w:rPr>
        <w:t xml:space="preserve">In article 2 of </w:t>
      </w:r>
      <w:r w:rsidR="00285A29" w:rsidRPr="00B979CB">
        <w:t xml:space="preserve">Commission Implementing Regulation (EU) 2015/2450 </w:t>
      </w:r>
      <w:r>
        <w:rPr>
          <w:iCs/>
        </w:rPr>
        <w:t>the following letter d) is added:</w:t>
      </w:r>
    </w:p>
    <w:p w14:paraId="5C94C51F" w14:textId="1D0D2A09" w:rsidR="00BE5517" w:rsidRDefault="00BE5517" w:rsidP="00285A29">
      <w:pPr>
        <w:pStyle w:val="ti-art"/>
        <w:shd w:val="clear" w:color="auto" w:fill="FFFFFF"/>
        <w:spacing w:before="360" w:after="120" w:line="312" w:lineRule="atLeast"/>
        <w:jc w:val="both"/>
        <w:textAlignment w:val="baseline"/>
        <w:rPr>
          <w:iCs/>
        </w:rPr>
      </w:pPr>
      <w:r>
        <w:rPr>
          <w:iCs/>
        </w:rPr>
        <w:t>“</w:t>
      </w:r>
      <w:commentRangeStart w:id="1"/>
      <w:r>
        <w:rPr>
          <w:iCs/>
        </w:rPr>
        <w:t xml:space="preserve">d) data points </w:t>
      </w:r>
      <w:r w:rsidRPr="00BE5517">
        <w:rPr>
          <w:iCs/>
        </w:rPr>
        <w:t xml:space="preserve">shall be </w:t>
      </w:r>
      <w:r>
        <w:rPr>
          <w:iCs/>
        </w:rPr>
        <w:t xml:space="preserve">expressed as </w:t>
      </w:r>
      <w:r w:rsidRPr="00BE5517">
        <w:rPr>
          <w:iCs/>
        </w:rPr>
        <w:t xml:space="preserve">positive values unless </w:t>
      </w:r>
      <w:r w:rsidR="0041515A">
        <w:rPr>
          <w:iCs/>
        </w:rPr>
        <w:t xml:space="preserve">they are of an opposite nature from the natural amount of the item, for example negative technical provisions, in </w:t>
      </w:r>
      <w:r w:rsidR="0041515A">
        <w:rPr>
          <w:iCs/>
          <w:highlight w:val="green"/>
        </w:rPr>
        <w:t>the</w:t>
      </w:r>
      <w:r w:rsidR="003C3551">
        <w:rPr>
          <w:iCs/>
          <w:highlight w:val="green"/>
        </w:rPr>
        <w:t xml:space="preserve"> cases where</w:t>
      </w:r>
      <w:r w:rsidR="00E91229" w:rsidRPr="00EE34D3">
        <w:rPr>
          <w:iCs/>
          <w:highlight w:val="green"/>
        </w:rPr>
        <w:t xml:space="preserve"> the nature of the data point allows for positive and negative values to be reported</w:t>
      </w:r>
      <w:r w:rsidR="0041515A">
        <w:rPr>
          <w:iCs/>
        </w:rPr>
        <w:t>,</w:t>
      </w:r>
      <w:r w:rsidR="0041515A" w:rsidRPr="0041515A">
        <w:rPr>
          <w:iCs/>
        </w:rPr>
        <w:t xml:space="preserve"> </w:t>
      </w:r>
      <w:r w:rsidR="0041515A">
        <w:rPr>
          <w:iCs/>
        </w:rPr>
        <w:t xml:space="preserve">for example variations, or if </w:t>
      </w:r>
      <w:r w:rsidR="0041515A" w:rsidRPr="00BE5517">
        <w:rPr>
          <w:iCs/>
        </w:rPr>
        <w:t>otherwise stated in the respective instructions</w:t>
      </w:r>
      <w:r>
        <w:rPr>
          <w:iCs/>
        </w:rPr>
        <w:t>.</w:t>
      </w:r>
      <w:commentRangeEnd w:id="1"/>
      <w:r w:rsidR="00285A29">
        <w:rPr>
          <w:rStyle w:val="Kommentinviite"/>
          <w:lang w:eastAsia="pt-PT"/>
        </w:rPr>
        <w:commentReference w:id="1"/>
      </w:r>
    </w:p>
    <w:p w14:paraId="534D1878" w14:textId="398A13C1" w:rsidR="00BE5517" w:rsidRDefault="00BE5517" w:rsidP="00AD6775">
      <w:pPr>
        <w:pStyle w:val="ti-art"/>
        <w:numPr>
          <w:ilvl w:val="0"/>
          <w:numId w:val="35"/>
        </w:numPr>
        <w:shd w:val="clear" w:color="auto" w:fill="FFFFFF"/>
        <w:spacing w:before="360" w:after="120" w:line="312" w:lineRule="atLeast"/>
        <w:jc w:val="both"/>
        <w:textAlignment w:val="baseline"/>
        <w:rPr>
          <w:iCs/>
        </w:rPr>
      </w:pPr>
      <w:r>
        <w:rPr>
          <w:iCs/>
        </w:rPr>
        <w:t xml:space="preserve">In article 3 of </w:t>
      </w:r>
      <w:r w:rsidR="00285A29" w:rsidRPr="00B979CB">
        <w:t xml:space="preserve">Commission Implementing Regulation (EU) 2015/2450 </w:t>
      </w:r>
      <w:r>
        <w:rPr>
          <w:iCs/>
        </w:rPr>
        <w:t>paragraph 4a is added:</w:t>
      </w:r>
    </w:p>
    <w:p w14:paraId="5341E1D0" w14:textId="77777777" w:rsidR="00AD6775" w:rsidRDefault="00BE5517" w:rsidP="00AD6775">
      <w:pPr>
        <w:pStyle w:val="Normal1"/>
        <w:shd w:val="clear" w:color="auto" w:fill="FFFFFF"/>
        <w:spacing w:before="120" w:beforeAutospacing="0" w:after="0" w:afterAutospacing="0" w:line="312" w:lineRule="atLeast"/>
        <w:jc w:val="both"/>
        <w:textAlignment w:val="baseline"/>
      </w:pPr>
      <w:r>
        <w:rPr>
          <w:iCs/>
        </w:rPr>
        <w:t xml:space="preserve">“4a) </w:t>
      </w:r>
      <w:r w:rsidRPr="00BE5517">
        <w:rPr>
          <w:iCs/>
        </w:rPr>
        <w:t xml:space="preserve">When expressing the value of </w:t>
      </w:r>
      <w:r>
        <w:rPr>
          <w:iCs/>
        </w:rPr>
        <w:t xml:space="preserve">historical data </w:t>
      </w:r>
      <w:r w:rsidRPr="00BE5517">
        <w:rPr>
          <w:iCs/>
        </w:rPr>
        <w:t xml:space="preserve">denominated in a currency other than the reporting currency, </w:t>
      </w:r>
      <w:r>
        <w:rPr>
          <w:iCs/>
        </w:rPr>
        <w:t>all</w:t>
      </w:r>
      <w:r w:rsidRPr="00BE5517">
        <w:rPr>
          <w:iCs/>
        </w:rPr>
        <w:t xml:space="preserve"> value</w:t>
      </w:r>
      <w:r>
        <w:rPr>
          <w:iCs/>
        </w:rPr>
        <w:t>s related to different reporting periods</w:t>
      </w:r>
      <w:r w:rsidRPr="00BE5517">
        <w:rPr>
          <w:iCs/>
        </w:rPr>
        <w:t xml:space="preserve"> shall be converted into the reporting currency as if the conversion had taken place at the closing rate on the last day for which the appropriate rate is available in th</w:t>
      </w:r>
      <w:r w:rsidR="00627FAB">
        <w:rPr>
          <w:iCs/>
        </w:rPr>
        <w:t>at</w:t>
      </w:r>
      <w:r w:rsidRPr="00BE5517">
        <w:rPr>
          <w:iCs/>
        </w:rPr>
        <w:t xml:space="preserve"> reporting </w:t>
      </w:r>
      <w:commentRangeStart w:id="2"/>
      <w:r w:rsidRPr="00BE5517">
        <w:rPr>
          <w:iCs/>
        </w:rPr>
        <w:t>period</w:t>
      </w:r>
      <w:commentRangeEnd w:id="2"/>
      <w:r>
        <w:rPr>
          <w:rStyle w:val="Kommentinviite"/>
          <w:lang w:eastAsia="pt-PT"/>
        </w:rPr>
        <w:commentReference w:id="2"/>
      </w:r>
      <w:r>
        <w:rPr>
          <w:iCs/>
        </w:rPr>
        <w:t>.</w:t>
      </w:r>
      <w:r w:rsidR="00AD6775" w:rsidRPr="00AD6775">
        <w:t xml:space="preserve"> </w:t>
      </w:r>
    </w:p>
    <w:p w14:paraId="00135F0C" w14:textId="765F6612" w:rsidR="00AD6775" w:rsidRPr="00736CB1" w:rsidRDefault="00AD6775" w:rsidP="00AD6775">
      <w:pPr>
        <w:pStyle w:val="Normal1"/>
        <w:numPr>
          <w:ilvl w:val="0"/>
          <w:numId w:val="35"/>
        </w:numPr>
        <w:shd w:val="clear" w:color="auto" w:fill="FFFFFF"/>
        <w:spacing w:before="120" w:beforeAutospacing="0" w:after="0" w:afterAutospacing="0" w:line="312" w:lineRule="atLeast"/>
        <w:jc w:val="both"/>
        <w:textAlignment w:val="baseline"/>
      </w:pPr>
      <w:r w:rsidRPr="00D656B7">
        <w:t>Annexes I, II, III and VI to Implementing Regulation (EU) 2015/2450 are amended in accordance with Annex I to this Regulation.</w:t>
      </w:r>
    </w:p>
    <w:p w14:paraId="5BB2AD7A" w14:textId="3A3C7BAA" w:rsidR="00B35A16" w:rsidRPr="00736CB1" w:rsidRDefault="00B35A16" w:rsidP="00B35A16">
      <w:pPr>
        <w:pStyle w:val="ti-art"/>
        <w:shd w:val="clear" w:color="auto" w:fill="FFFFFF"/>
        <w:spacing w:before="360" w:beforeAutospacing="0" w:after="120" w:afterAutospacing="0" w:line="312" w:lineRule="atLeast"/>
        <w:jc w:val="center"/>
        <w:textAlignment w:val="baseline"/>
        <w:rPr>
          <w:i/>
          <w:iCs/>
        </w:rPr>
      </w:pPr>
      <w:r w:rsidRPr="00736CB1">
        <w:rPr>
          <w:i/>
          <w:iCs/>
        </w:rPr>
        <w:t xml:space="preserve">Article </w:t>
      </w:r>
      <w:r w:rsidR="00AD6775">
        <w:rPr>
          <w:i/>
          <w:iCs/>
        </w:rPr>
        <w:t>2</w:t>
      </w:r>
    </w:p>
    <w:p w14:paraId="5BB2AD7B" w14:textId="77777777" w:rsidR="00B35A16" w:rsidRPr="00736CB1" w:rsidRDefault="00B35A16" w:rsidP="00B35A16">
      <w:pPr>
        <w:pStyle w:val="sti-art"/>
        <w:shd w:val="clear" w:color="auto" w:fill="FFFFFF"/>
        <w:spacing w:before="60" w:beforeAutospacing="0" w:after="120" w:afterAutospacing="0" w:line="312" w:lineRule="atLeast"/>
        <w:jc w:val="center"/>
        <w:textAlignment w:val="baseline"/>
        <w:rPr>
          <w:b/>
          <w:bCs/>
        </w:rPr>
      </w:pPr>
      <w:r w:rsidRPr="00736CB1">
        <w:rPr>
          <w:b/>
          <w:bCs/>
        </w:rPr>
        <w:t>Correcting provisions</w:t>
      </w:r>
    </w:p>
    <w:p w14:paraId="5BB2AD7C" w14:textId="77777777" w:rsidR="00B35A16" w:rsidRPr="00F23F46" w:rsidRDefault="00431C00" w:rsidP="00B35A16">
      <w:pPr>
        <w:pStyle w:val="Normal1"/>
        <w:shd w:val="clear" w:color="auto" w:fill="FFFFFF"/>
        <w:spacing w:before="120" w:beforeAutospacing="0" w:after="0" w:afterAutospacing="0" w:line="312" w:lineRule="atLeast"/>
        <w:jc w:val="both"/>
        <w:textAlignment w:val="baseline"/>
      </w:pPr>
      <w:r w:rsidRPr="00D656B7">
        <w:t xml:space="preserve">Annexes I, II and III to </w:t>
      </w:r>
      <w:r w:rsidR="00B35A16" w:rsidRPr="00D656B7">
        <w:t xml:space="preserve">Implementing Regulation (EU) 2015/2450 </w:t>
      </w:r>
      <w:r w:rsidRPr="00D656B7">
        <w:t xml:space="preserve">are </w:t>
      </w:r>
      <w:r w:rsidR="00B35A16" w:rsidRPr="00D656B7">
        <w:t>corrected in accordance with Annex I</w:t>
      </w:r>
      <w:r w:rsidR="00EF283B" w:rsidRPr="00D656B7">
        <w:t>I</w:t>
      </w:r>
      <w:r w:rsidR="00B35A16" w:rsidRPr="00D656B7">
        <w:t xml:space="preserve"> to this Regulation.</w:t>
      </w:r>
    </w:p>
    <w:p w14:paraId="5BB2AD7D" w14:textId="6AF39281" w:rsidR="00E261A4" w:rsidRPr="00F23F46" w:rsidRDefault="00E261A4" w:rsidP="00E261A4">
      <w:pPr>
        <w:pStyle w:val="ti-art"/>
        <w:shd w:val="clear" w:color="auto" w:fill="FFFFFF"/>
        <w:spacing w:before="360" w:beforeAutospacing="0" w:after="120" w:afterAutospacing="0" w:line="312" w:lineRule="atLeast"/>
        <w:jc w:val="center"/>
        <w:textAlignment w:val="baseline"/>
        <w:rPr>
          <w:i/>
          <w:iCs/>
        </w:rPr>
      </w:pPr>
      <w:r w:rsidRPr="00F23F46">
        <w:rPr>
          <w:i/>
          <w:iCs/>
        </w:rPr>
        <w:t xml:space="preserve">Article </w:t>
      </w:r>
      <w:r w:rsidR="00765431">
        <w:rPr>
          <w:i/>
          <w:iCs/>
        </w:rPr>
        <w:t>3</w:t>
      </w:r>
    </w:p>
    <w:p w14:paraId="5BB2AD7E" w14:textId="77777777" w:rsidR="00E261A4" w:rsidRPr="00F23F46" w:rsidRDefault="00E261A4" w:rsidP="00E261A4">
      <w:pPr>
        <w:pStyle w:val="sti-art"/>
        <w:shd w:val="clear" w:color="auto" w:fill="FFFFFF"/>
        <w:spacing w:before="60" w:beforeAutospacing="0" w:after="120" w:afterAutospacing="0" w:line="312" w:lineRule="atLeast"/>
        <w:jc w:val="center"/>
        <w:textAlignment w:val="baseline"/>
        <w:rPr>
          <w:b/>
          <w:bCs/>
        </w:rPr>
      </w:pPr>
      <w:r w:rsidRPr="00F23F46">
        <w:rPr>
          <w:b/>
          <w:bCs/>
        </w:rPr>
        <w:t>Entry into force</w:t>
      </w:r>
    </w:p>
    <w:p w14:paraId="5BB2AD7F" w14:textId="77777777" w:rsidR="00E261A4" w:rsidRPr="00F23F46" w:rsidRDefault="00E261A4" w:rsidP="00E261A4">
      <w:pPr>
        <w:pStyle w:val="Normal1"/>
        <w:shd w:val="clear" w:color="auto" w:fill="FFFFFF"/>
        <w:spacing w:before="0" w:beforeAutospacing="0" w:after="0" w:afterAutospacing="0" w:line="312" w:lineRule="atLeast"/>
        <w:jc w:val="both"/>
        <w:textAlignment w:val="baseline"/>
      </w:pPr>
      <w:r w:rsidRPr="00F23F46">
        <w:t>This Regulation shall enter into force on the twentieth day following that of its publication in the</w:t>
      </w:r>
      <w:r w:rsidRPr="00F23F46">
        <w:rPr>
          <w:rStyle w:val="apple-converted-space"/>
          <w:rFonts w:eastAsia="Calibri"/>
        </w:rPr>
        <w:t> </w:t>
      </w:r>
      <w:r w:rsidRPr="00F23F46">
        <w:rPr>
          <w:rStyle w:val="italic"/>
          <w:i/>
          <w:iCs/>
          <w:bdr w:val="none" w:sz="0" w:space="0" w:color="auto" w:frame="1"/>
        </w:rPr>
        <w:t>Official Journal of the European Union</w:t>
      </w:r>
      <w:r w:rsidRPr="00F23F46">
        <w:t>.</w:t>
      </w:r>
    </w:p>
    <w:p w14:paraId="5BB2AD80" w14:textId="77777777" w:rsidR="00E261A4" w:rsidRPr="00F23F46" w:rsidRDefault="00E261A4" w:rsidP="00E261A4">
      <w:pPr>
        <w:pStyle w:val="Normal1"/>
        <w:shd w:val="clear" w:color="auto" w:fill="FFFFFF"/>
        <w:spacing w:before="120" w:beforeAutospacing="0" w:after="0" w:afterAutospacing="0" w:line="312" w:lineRule="atLeast"/>
        <w:jc w:val="both"/>
        <w:textAlignment w:val="baseline"/>
      </w:pPr>
    </w:p>
    <w:p w14:paraId="5BB2AD81" w14:textId="77777777" w:rsidR="00E261A4" w:rsidRPr="00F23F46" w:rsidRDefault="00E261A4" w:rsidP="00E261A4">
      <w:pPr>
        <w:pStyle w:val="Normal1"/>
        <w:shd w:val="clear" w:color="auto" w:fill="FFFFFF"/>
        <w:spacing w:before="120" w:beforeAutospacing="0" w:after="0" w:afterAutospacing="0" w:line="312" w:lineRule="atLeast"/>
        <w:jc w:val="both"/>
        <w:textAlignment w:val="baseline"/>
      </w:pPr>
      <w:r w:rsidRPr="00F23F46">
        <w:t>This Regulation shall be binding in its entirety and directly applicable in all Member States.</w:t>
      </w:r>
    </w:p>
    <w:p w14:paraId="5BB2AD82" w14:textId="77777777" w:rsidR="00E261A4" w:rsidRPr="00F23F46" w:rsidRDefault="00E261A4" w:rsidP="00E261A4">
      <w:pPr>
        <w:pStyle w:val="Normal1"/>
        <w:shd w:val="clear" w:color="auto" w:fill="FFFFFF"/>
        <w:spacing w:before="120" w:beforeAutospacing="0" w:after="0" w:afterAutospacing="0" w:line="312" w:lineRule="atLeast"/>
        <w:jc w:val="both"/>
        <w:textAlignment w:val="baseline"/>
      </w:pPr>
      <w:r w:rsidRPr="00F23F46">
        <w:t>Done at Brussels,[].</w:t>
      </w:r>
    </w:p>
    <w:p w14:paraId="5BB2AD83" w14:textId="77777777" w:rsidR="00E261A4" w:rsidRPr="008C3C02" w:rsidRDefault="00E261A4" w:rsidP="00E261A4">
      <w:pPr>
        <w:spacing w:after="200" w:line="276" w:lineRule="auto"/>
      </w:pPr>
      <w:r w:rsidRPr="008C3C02">
        <w:br w:type="page"/>
      </w:r>
    </w:p>
    <w:p w14:paraId="5BB2AD84" w14:textId="77777777" w:rsidR="00B922FE" w:rsidRDefault="00B922FE" w:rsidP="00B922FE">
      <w:pPr>
        <w:rPr>
          <w:noProof/>
        </w:rPr>
        <w:sectPr w:rsidR="00B922FE" w:rsidSect="00A158C8">
          <w:headerReference w:type="even" r:id="rId16"/>
          <w:headerReference w:type="default" r:id="rId17"/>
          <w:footerReference w:type="even" r:id="rId18"/>
          <w:footerReference w:type="default" r:id="rId19"/>
          <w:headerReference w:type="first" r:id="rId20"/>
          <w:footerReference w:type="first" r:id="rId21"/>
          <w:pgSz w:w="11906" w:h="16838" w:code="9"/>
          <w:pgMar w:top="1134" w:right="1417" w:bottom="1134" w:left="1417" w:header="709" w:footer="709" w:gutter="0"/>
          <w:pgNumType w:start="1"/>
          <w:cols w:space="720"/>
          <w:docGrid w:linePitch="360"/>
        </w:sectPr>
      </w:pPr>
    </w:p>
    <w:p w14:paraId="5BB2AD85" w14:textId="77777777" w:rsidR="008C3C02" w:rsidRDefault="008C3C02" w:rsidP="00B922FE">
      <w:pPr>
        <w:pStyle w:val="Annexetitre"/>
        <w:rPr>
          <w:noProof/>
        </w:rPr>
      </w:pPr>
      <w:r w:rsidRPr="00736CB1">
        <w:rPr>
          <w:noProof/>
        </w:rPr>
        <w:t>ANNEX I</w:t>
      </w:r>
    </w:p>
    <w:p w14:paraId="4AA5320C" w14:textId="77777777" w:rsidR="00B979CB" w:rsidRPr="00B979CB" w:rsidRDefault="00B979CB" w:rsidP="00B979CB"/>
    <w:p w14:paraId="5BB2AD86" w14:textId="5CEFC575" w:rsidR="008C3C02" w:rsidRPr="00177D28" w:rsidRDefault="00813E6D" w:rsidP="004D2D71">
      <w:pPr>
        <w:pStyle w:val="Luettelokappale"/>
        <w:numPr>
          <w:ilvl w:val="0"/>
          <w:numId w:val="17"/>
        </w:numPr>
        <w:jc w:val="both"/>
      </w:pPr>
      <w:r w:rsidRPr="00D656B7">
        <w:t xml:space="preserve">Annex I to Implementing Regulation (EU) 2015/2450 </w:t>
      </w:r>
      <w:r w:rsidR="00B979CB" w:rsidRPr="00D656B7">
        <w:t>is</w:t>
      </w:r>
      <w:r w:rsidRPr="00D656B7">
        <w:t xml:space="preserve"> amended as follows</w:t>
      </w:r>
      <w:r w:rsidR="008C3C02" w:rsidRPr="00D656B7">
        <w:t>:</w:t>
      </w:r>
    </w:p>
    <w:p w14:paraId="1C272637" w14:textId="77777777" w:rsidR="000E2D11" w:rsidRDefault="000E2D11" w:rsidP="000E2D11">
      <w:pPr>
        <w:pStyle w:val="Luettelokappale"/>
        <w:jc w:val="both"/>
      </w:pPr>
    </w:p>
    <w:p w14:paraId="224D3887" w14:textId="6FBE9AE8" w:rsidR="00857A35" w:rsidRDefault="00857A35" w:rsidP="00F82AA3">
      <w:pPr>
        <w:pStyle w:val="Luettelokappale"/>
        <w:numPr>
          <w:ilvl w:val="0"/>
          <w:numId w:val="12"/>
        </w:numPr>
        <w:ind w:left="993" w:hanging="709"/>
      </w:pPr>
      <w:r>
        <w:t xml:space="preserve">In template </w:t>
      </w:r>
      <w:commentRangeStart w:id="3"/>
      <w:r>
        <w:t xml:space="preserve">S.01.02 </w:t>
      </w:r>
      <w:commentRangeEnd w:id="3"/>
      <w:r w:rsidR="0080120B" w:rsidRPr="00F82AA3">
        <w:commentReference w:id="3"/>
      </w:r>
      <w:r>
        <w:t>the following row is added:</w:t>
      </w:r>
    </w:p>
    <w:p w14:paraId="6713700D" w14:textId="59477A87" w:rsidR="00857A35" w:rsidRDefault="00C74A41" w:rsidP="00C74A41">
      <w:pPr>
        <w:pStyle w:val="Luettelokappale"/>
        <w:ind w:left="993"/>
        <w:jc w:val="both"/>
      </w:pPr>
      <w:r>
        <w:t>“</w:t>
      </w:r>
    </w:p>
    <w:tbl>
      <w:tblPr>
        <w:tblW w:w="6460" w:type="dxa"/>
        <w:tblInd w:w="534" w:type="dxa"/>
        <w:tblLook w:val="04A0" w:firstRow="1" w:lastRow="0" w:firstColumn="1" w:lastColumn="0" w:noHBand="0" w:noVBand="1"/>
      </w:tblPr>
      <w:tblGrid>
        <w:gridCol w:w="5028"/>
        <w:gridCol w:w="803"/>
        <w:gridCol w:w="629"/>
      </w:tblGrid>
      <w:tr w:rsidR="00857A35" w:rsidRPr="00857A35" w14:paraId="482EE928" w14:textId="77777777" w:rsidTr="00C74A41">
        <w:trPr>
          <w:trHeight w:val="300"/>
        </w:trPr>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638BD" w14:textId="5694E5D3" w:rsidR="00857A35" w:rsidRPr="00CB5EB9" w:rsidRDefault="00857A35" w:rsidP="00857A35">
            <w:pPr>
              <w:rPr>
                <w:sz w:val="22"/>
                <w:szCs w:val="22"/>
              </w:rPr>
            </w:pPr>
            <w:r w:rsidRPr="00CB5EB9">
              <w:rPr>
                <w:sz w:val="22"/>
                <w:szCs w:val="22"/>
              </w:rPr>
              <w:t>Exemption of reporting ECAI information</w:t>
            </w:r>
          </w:p>
        </w:tc>
        <w:tc>
          <w:tcPr>
            <w:tcW w:w="782" w:type="dxa"/>
            <w:tcBorders>
              <w:top w:val="single" w:sz="4" w:space="0" w:color="auto"/>
              <w:left w:val="nil"/>
              <w:bottom w:val="single" w:sz="4" w:space="0" w:color="auto"/>
              <w:right w:val="single" w:sz="4" w:space="0" w:color="auto"/>
            </w:tcBorders>
            <w:shd w:val="clear" w:color="auto" w:fill="auto"/>
            <w:vAlign w:val="bottom"/>
            <w:hideMark/>
          </w:tcPr>
          <w:p w14:paraId="24FB84A7" w14:textId="613CA9EF" w:rsidR="00857A35" w:rsidRPr="00CB5EB9" w:rsidRDefault="00857A35" w:rsidP="00857A35">
            <w:pPr>
              <w:jc w:val="center"/>
              <w:rPr>
                <w:sz w:val="22"/>
                <w:szCs w:val="22"/>
              </w:rPr>
            </w:pPr>
            <w:r w:rsidRPr="00CB5EB9">
              <w:rPr>
                <w:sz w:val="22"/>
                <w:szCs w:val="22"/>
              </w:rPr>
              <w:t>R0220</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601CB3E9" w14:textId="77777777" w:rsidR="00857A35" w:rsidRPr="00CB5EB9" w:rsidRDefault="00857A35" w:rsidP="00857A35">
            <w:pPr>
              <w:jc w:val="center"/>
              <w:rPr>
                <w:sz w:val="22"/>
                <w:szCs w:val="22"/>
              </w:rPr>
            </w:pPr>
            <w:r w:rsidRPr="00CB5EB9">
              <w:rPr>
                <w:sz w:val="22"/>
                <w:szCs w:val="22"/>
              </w:rPr>
              <w:t> </w:t>
            </w:r>
          </w:p>
        </w:tc>
      </w:tr>
    </w:tbl>
    <w:p w14:paraId="33D4815A" w14:textId="170F879F" w:rsidR="00857A35" w:rsidRDefault="00C74A41" w:rsidP="00C74A41">
      <w:pPr>
        <w:pStyle w:val="Luettelokappale"/>
        <w:ind w:left="993"/>
        <w:jc w:val="both"/>
      </w:pPr>
      <w:r>
        <w:t>“;</w:t>
      </w:r>
    </w:p>
    <w:p w14:paraId="73A01B97" w14:textId="2F6A9318" w:rsidR="008E6F01" w:rsidRPr="00836589" w:rsidRDefault="008E6F01" w:rsidP="00F82AA3">
      <w:pPr>
        <w:pStyle w:val="Luettelokappale"/>
        <w:numPr>
          <w:ilvl w:val="0"/>
          <w:numId w:val="12"/>
        </w:numPr>
        <w:ind w:left="993" w:hanging="709"/>
      </w:pPr>
      <w:r w:rsidRPr="00836589">
        <w:t xml:space="preserve">In template </w:t>
      </w:r>
      <w:commentRangeStart w:id="4"/>
      <w:r w:rsidRPr="00836589">
        <w:t xml:space="preserve">S.12.01 </w:t>
      </w:r>
      <w:commentRangeEnd w:id="4"/>
      <w:r w:rsidRPr="00C74A41">
        <w:commentReference w:id="4"/>
      </w:r>
      <w:r w:rsidRPr="00836589">
        <w:t>row R0220 is replaced by the following;</w:t>
      </w:r>
    </w:p>
    <w:p w14:paraId="604F65F1" w14:textId="6F7A0737" w:rsidR="008E6F01" w:rsidRDefault="008566BB" w:rsidP="008E6F01">
      <w:pPr>
        <w:pStyle w:val="Luettelokappale"/>
        <w:ind w:left="709"/>
        <w:jc w:val="both"/>
      </w:pPr>
      <w:r>
        <w:t>“</w:t>
      </w:r>
    </w:p>
    <w:tbl>
      <w:tblPr>
        <w:tblW w:w="8890" w:type="dxa"/>
        <w:tblInd w:w="534" w:type="dxa"/>
        <w:tblLook w:val="04A0" w:firstRow="1" w:lastRow="0" w:firstColumn="1" w:lastColumn="0" w:noHBand="0" w:noVBand="1"/>
      </w:tblPr>
      <w:tblGrid>
        <w:gridCol w:w="1134"/>
        <w:gridCol w:w="761"/>
        <w:gridCol w:w="222"/>
        <w:gridCol w:w="222"/>
        <w:gridCol w:w="354"/>
        <w:gridCol w:w="283"/>
        <w:gridCol w:w="222"/>
        <w:gridCol w:w="236"/>
        <w:gridCol w:w="393"/>
        <w:gridCol w:w="222"/>
        <w:gridCol w:w="222"/>
        <w:gridCol w:w="531"/>
        <w:gridCol w:w="531"/>
        <w:gridCol w:w="531"/>
        <w:gridCol w:w="531"/>
        <w:gridCol w:w="222"/>
        <w:gridCol w:w="222"/>
        <w:gridCol w:w="531"/>
        <w:gridCol w:w="531"/>
        <w:gridCol w:w="222"/>
        <w:gridCol w:w="531"/>
        <w:gridCol w:w="236"/>
      </w:tblGrid>
      <w:tr w:rsidR="008E6F01" w:rsidRPr="009A4C7F" w14:paraId="731B8A9A" w14:textId="77777777" w:rsidTr="008566BB">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106B294" w14:textId="77777777" w:rsidR="008E6F01" w:rsidRPr="009A4C7F" w:rsidRDefault="008E6F01" w:rsidP="00C74A41">
            <w:pPr>
              <w:rPr>
                <w:b/>
                <w:bCs/>
                <w:sz w:val="20"/>
                <w:szCs w:val="20"/>
              </w:rPr>
            </w:pPr>
            <w:r w:rsidRPr="009A4C7F">
              <w:rPr>
                <w:b/>
                <w:bCs/>
                <w:sz w:val="20"/>
                <w:szCs w:val="20"/>
              </w:rPr>
              <w:t>Best Estimate of products with a surrender option</w:t>
            </w:r>
          </w:p>
        </w:tc>
        <w:tc>
          <w:tcPr>
            <w:tcW w:w="761" w:type="dxa"/>
            <w:tcBorders>
              <w:top w:val="single" w:sz="4" w:space="0" w:color="auto"/>
              <w:left w:val="single" w:sz="4" w:space="0" w:color="auto"/>
              <w:bottom w:val="single" w:sz="4" w:space="0" w:color="auto"/>
              <w:right w:val="single" w:sz="4" w:space="0" w:color="auto"/>
            </w:tcBorders>
            <w:shd w:val="clear" w:color="auto" w:fill="auto"/>
            <w:noWrap/>
            <w:hideMark/>
          </w:tcPr>
          <w:p w14:paraId="58FDC469" w14:textId="77777777" w:rsidR="008E6F01" w:rsidRPr="009A4C7F" w:rsidRDefault="008E6F01" w:rsidP="00C74A41">
            <w:pPr>
              <w:rPr>
                <w:b/>
                <w:color w:val="000000"/>
                <w:sz w:val="20"/>
                <w:szCs w:val="20"/>
              </w:rPr>
            </w:pPr>
            <w:r w:rsidRPr="009A4C7F">
              <w:rPr>
                <w:b/>
                <w:color w:val="000000"/>
                <w:sz w:val="20"/>
                <w:szCs w:val="20"/>
              </w:rPr>
              <w:t>R0220</w:t>
            </w: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1A64D886" w14:textId="77777777" w:rsidR="008E6F01" w:rsidRPr="009A4C7F" w:rsidRDefault="008E6F01" w:rsidP="00C74A41">
            <w:pPr>
              <w:jc w:val="center"/>
              <w:rPr>
                <w:b/>
                <w:color w:val="000000"/>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29D34122" w14:textId="77777777" w:rsidR="008E6F01" w:rsidRPr="009A4C7F" w:rsidRDefault="008E6F01" w:rsidP="00C74A41">
            <w:pPr>
              <w:jc w:val="center"/>
              <w:rPr>
                <w:b/>
                <w:color w:val="000000"/>
                <w:sz w:val="20"/>
                <w:szCs w:val="20"/>
              </w:rPr>
            </w:pPr>
          </w:p>
        </w:tc>
        <w:tc>
          <w:tcPr>
            <w:tcW w:w="35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8766E86" w14:textId="77777777" w:rsidR="008E6F01" w:rsidRPr="009A4C7F" w:rsidRDefault="008E6F01" w:rsidP="00C74A41">
            <w:pPr>
              <w:jc w:val="center"/>
              <w:rPr>
                <w:b/>
                <w:sz w:val="20"/>
                <w:szCs w:val="20"/>
              </w:rPr>
            </w:pPr>
          </w:p>
        </w:tc>
        <w:tc>
          <w:tcPr>
            <w:tcW w:w="28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27AD4DB" w14:textId="77777777" w:rsidR="008E6F01" w:rsidRPr="009A4C7F" w:rsidRDefault="008E6F01" w:rsidP="00C74A41">
            <w:pPr>
              <w:jc w:val="center"/>
              <w:rPr>
                <w:b/>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1D44CF05" w14:textId="77777777" w:rsidR="008E6F01" w:rsidRPr="009A4C7F" w:rsidRDefault="008E6F01" w:rsidP="00C74A41">
            <w:pPr>
              <w:jc w:val="center"/>
              <w:rPr>
                <w:b/>
                <w:color w:val="000000"/>
                <w:sz w:val="20"/>
                <w:szCs w:val="20"/>
              </w:rPr>
            </w:pPr>
          </w:p>
        </w:tc>
        <w:tc>
          <w:tcPr>
            <w:tcW w:w="236"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3C6B726" w14:textId="77777777" w:rsidR="008E6F01" w:rsidRPr="009A4C7F" w:rsidRDefault="008E6F01" w:rsidP="00C74A41">
            <w:pPr>
              <w:jc w:val="center"/>
              <w:rPr>
                <w:b/>
                <w:sz w:val="20"/>
                <w:szCs w:val="20"/>
              </w:rPr>
            </w:pPr>
          </w:p>
        </w:tc>
        <w:tc>
          <w:tcPr>
            <w:tcW w:w="39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96D1FD2" w14:textId="77777777" w:rsidR="008E6F01" w:rsidRPr="009A4C7F" w:rsidRDefault="008E6F01" w:rsidP="00C74A41">
            <w:pPr>
              <w:jc w:val="center"/>
              <w:rPr>
                <w:b/>
                <w:sz w:val="20"/>
                <w:szCs w:val="20"/>
              </w:rPr>
            </w:pPr>
          </w:p>
        </w:tc>
        <w:tc>
          <w:tcPr>
            <w:tcW w:w="222" w:type="dxa"/>
            <w:tcBorders>
              <w:top w:val="single" w:sz="4" w:space="0" w:color="auto"/>
              <w:left w:val="single" w:sz="4" w:space="0" w:color="auto"/>
              <w:bottom w:val="single" w:sz="4" w:space="0" w:color="auto"/>
              <w:right w:val="nil"/>
            </w:tcBorders>
            <w:shd w:val="clear" w:color="auto" w:fill="auto"/>
            <w:vAlign w:val="center"/>
            <w:hideMark/>
          </w:tcPr>
          <w:p w14:paraId="5A6A8E3C" w14:textId="77777777" w:rsidR="008E6F01" w:rsidRPr="009A4C7F" w:rsidRDefault="008E6F01" w:rsidP="00C74A41">
            <w:pPr>
              <w:jc w:val="center"/>
              <w:rPr>
                <w:b/>
                <w:color w:val="000000"/>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F708F" w14:textId="77777777" w:rsidR="008E6F01" w:rsidRPr="009A4C7F" w:rsidRDefault="008E6F01" w:rsidP="00C74A41">
            <w:pPr>
              <w:jc w:val="center"/>
              <w:rPr>
                <w:b/>
                <w:color w:val="000000"/>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AEDF2D8" w14:textId="77777777" w:rsidR="008E6F01" w:rsidRPr="009A4C7F" w:rsidRDefault="008E6F01" w:rsidP="00C74A41">
            <w:pPr>
              <w:jc w:val="center"/>
              <w:rPr>
                <w:b/>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58A1A98" w14:textId="77777777" w:rsidR="008E6F01" w:rsidRPr="009A4C7F" w:rsidRDefault="008E6F01" w:rsidP="00C74A41">
            <w:pPr>
              <w:jc w:val="center"/>
              <w:rPr>
                <w:b/>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E2AEFB1" w14:textId="77777777" w:rsidR="008E6F01" w:rsidRPr="009A4C7F" w:rsidRDefault="008E6F01" w:rsidP="00C74A41">
            <w:pPr>
              <w:jc w:val="center"/>
              <w:rPr>
                <w:b/>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03A352B" w14:textId="77777777" w:rsidR="008E6F01" w:rsidRPr="009A4C7F" w:rsidRDefault="008E6F01" w:rsidP="00C74A41">
            <w:pPr>
              <w:jc w:val="center"/>
              <w:rPr>
                <w:b/>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24165A43" w14:textId="77777777" w:rsidR="008E6F01" w:rsidRPr="009A4C7F" w:rsidRDefault="008E6F01" w:rsidP="00C74A41">
            <w:pPr>
              <w:jc w:val="center"/>
              <w:rPr>
                <w:b/>
                <w:color w:val="000000"/>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08917331" w14:textId="77777777" w:rsidR="008E6F01" w:rsidRPr="009A4C7F" w:rsidRDefault="008E6F01" w:rsidP="00C74A41">
            <w:pPr>
              <w:jc w:val="center"/>
              <w:rPr>
                <w:b/>
                <w:color w:val="000000"/>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EFCD0C7" w14:textId="77777777" w:rsidR="008E6F01" w:rsidRPr="009A4C7F" w:rsidRDefault="008E6F01" w:rsidP="00C74A41">
            <w:pPr>
              <w:jc w:val="center"/>
              <w:rPr>
                <w:b/>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3E2420D" w14:textId="77777777" w:rsidR="008E6F01" w:rsidRPr="009A4C7F" w:rsidRDefault="008E6F01" w:rsidP="00C74A41">
            <w:pPr>
              <w:jc w:val="center"/>
              <w:rPr>
                <w:b/>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2A0CCBCF" w14:textId="77777777" w:rsidR="008E6F01" w:rsidRPr="009A4C7F" w:rsidRDefault="008E6F01" w:rsidP="00C74A41">
            <w:pPr>
              <w:jc w:val="center"/>
              <w:rPr>
                <w:b/>
                <w:color w:val="000000"/>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7F38AEE" w14:textId="77777777" w:rsidR="008E6F01" w:rsidRPr="009A4C7F" w:rsidRDefault="008E6F01" w:rsidP="00C74A41">
            <w:pPr>
              <w:jc w:val="center"/>
              <w:rPr>
                <w:b/>
                <w:sz w:val="20"/>
                <w:szCs w:val="20"/>
              </w:rPr>
            </w:pP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6525B848" w14:textId="77777777" w:rsidR="008E6F01" w:rsidRPr="009A4C7F" w:rsidRDefault="008E6F01" w:rsidP="00C74A41">
            <w:pPr>
              <w:jc w:val="center"/>
              <w:rPr>
                <w:b/>
                <w:color w:val="000000"/>
                <w:sz w:val="20"/>
                <w:szCs w:val="20"/>
              </w:rPr>
            </w:pPr>
          </w:p>
        </w:tc>
      </w:tr>
    </w:tbl>
    <w:p w14:paraId="02A13E18" w14:textId="0A57D9F0" w:rsidR="008E6F01" w:rsidRDefault="008566BB" w:rsidP="008E6F01">
      <w:pPr>
        <w:pStyle w:val="Luettelokappale"/>
        <w:ind w:left="709"/>
        <w:jc w:val="both"/>
      </w:pPr>
      <w:r>
        <w:t>“</w:t>
      </w:r>
      <w:r w:rsidR="008E0D37">
        <w:t>;</w:t>
      </w:r>
    </w:p>
    <w:p w14:paraId="7D5D3DA1" w14:textId="755D77EB" w:rsidR="008E0D37" w:rsidRDefault="008E0D37" w:rsidP="00F82AA3">
      <w:pPr>
        <w:pStyle w:val="Luettelokappale"/>
        <w:numPr>
          <w:ilvl w:val="0"/>
          <w:numId w:val="12"/>
        </w:numPr>
        <w:ind w:left="993" w:hanging="709"/>
      </w:pPr>
      <w:r w:rsidRPr="00836589">
        <w:t xml:space="preserve">In template S.12.01 </w:t>
      </w:r>
      <w:r>
        <w:t>row R023</w:t>
      </w:r>
      <w:r w:rsidRPr="00836589">
        <w:t xml:space="preserve">0 is replaced by the </w:t>
      </w:r>
      <w:commentRangeStart w:id="5"/>
      <w:r w:rsidRPr="00836589">
        <w:t>following</w:t>
      </w:r>
      <w:commentRangeEnd w:id="5"/>
      <w:r w:rsidR="00C912C6">
        <w:rPr>
          <w:rStyle w:val="Kommentinviite"/>
          <w:lang w:eastAsia="pt-PT"/>
        </w:rPr>
        <w:commentReference w:id="5"/>
      </w:r>
      <w:r w:rsidRPr="00836589">
        <w:t>;</w:t>
      </w:r>
    </w:p>
    <w:p w14:paraId="60F8F068" w14:textId="57B8E7EE" w:rsidR="008E0D37" w:rsidRDefault="008566BB" w:rsidP="00BD6CCB">
      <w:pPr>
        <w:pStyle w:val="Luettelokappale"/>
        <w:ind w:left="993"/>
      </w:pPr>
      <w:r>
        <w:t>“</w:t>
      </w:r>
    </w:p>
    <w:tbl>
      <w:tblPr>
        <w:tblW w:w="8726" w:type="dxa"/>
        <w:tblInd w:w="534" w:type="dxa"/>
        <w:tblLook w:val="04A0" w:firstRow="1" w:lastRow="0" w:firstColumn="1" w:lastColumn="0" w:noHBand="0" w:noVBand="1"/>
      </w:tblPr>
      <w:tblGrid>
        <w:gridCol w:w="1283"/>
        <w:gridCol w:w="750"/>
        <w:gridCol w:w="296"/>
        <w:gridCol w:w="222"/>
        <w:gridCol w:w="425"/>
        <w:gridCol w:w="284"/>
        <w:gridCol w:w="222"/>
        <w:gridCol w:w="345"/>
        <w:gridCol w:w="283"/>
        <w:gridCol w:w="222"/>
        <w:gridCol w:w="517"/>
        <w:gridCol w:w="395"/>
        <w:gridCol w:w="304"/>
        <w:gridCol w:w="517"/>
        <w:gridCol w:w="517"/>
        <w:gridCol w:w="222"/>
        <w:gridCol w:w="222"/>
        <w:gridCol w:w="517"/>
        <w:gridCol w:w="517"/>
        <w:gridCol w:w="222"/>
        <w:gridCol w:w="222"/>
        <w:gridCol w:w="222"/>
      </w:tblGrid>
      <w:tr w:rsidR="008E0D37" w:rsidRPr="00BD6CCB" w14:paraId="6E0D70F0" w14:textId="77777777" w:rsidTr="008566BB">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FD15F" w14:textId="77777777" w:rsidR="008E0D37" w:rsidRPr="008E0D37" w:rsidRDefault="008E0D37" w:rsidP="008E0D37">
            <w:pPr>
              <w:ind w:firstLineChars="200" w:firstLine="400"/>
              <w:rPr>
                <w:i/>
                <w:iCs/>
                <w:sz w:val="20"/>
                <w:szCs w:val="20"/>
              </w:rPr>
            </w:pPr>
            <w:r w:rsidRPr="008E0D37">
              <w:rPr>
                <w:i/>
                <w:iCs/>
                <w:sz w:val="20"/>
                <w:szCs w:val="20"/>
              </w:rPr>
              <w:t>Future guaranteed and discretionary benefits</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00560" w14:textId="77777777" w:rsidR="008E0D37" w:rsidRPr="008E0D37" w:rsidRDefault="008E0D37">
            <w:pPr>
              <w:jc w:val="center"/>
              <w:rPr>
                <w:color w:val="000000"/>
                <w:sz w:val="20"/>
                <w:szCs w:val="20"/>
              </w:rPr>
            </w:pPr>
            <w:r w:rsidRPr="008E0D37">
              <w:rPr>
                <w:color w:val="000000"/>
                <w:sz w:val="20"/>
                <w:szCs w:val="20"/>
              </w:rPr>
              <w:t>R0230</w:t>
            </w:r>
          </w:p>
        </w:tc>
        <w:tc>
          <w:tcPr>
            <w:tcW w:w="296"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C6B01DF" w14:textId="14B29988" w:rsidR="008E0D37" w:rsidRPr="008E0D37"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3033CB96" w14:textId="22B8B0ED" w:rsidR="008E0D37" w:rsidRPr="008E0D37" w:rsidRDefault="008E0D37">
            <w:pPr>
              <w:jc w:val="center"/>
              <w:rPr>
                <w:color w:val="000000"/>
                <w:sz w:val="20"/>
                <w:szCs w:val="20"/>
              </w:rPr>
            </w:pPr>
          </w:p>
        </w:tc>
        <w:tc>
          <w:tcPr>
            <w:tcW w:w="425"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E1611D5" w14:textId="2268489E" w:rsidR="008E0D37" w:rsidRPr="008E0D37" w:rsidRDefault="008E0D37">
            <w:pPr>
              <w:jc w:val="center"/>
              <w:rPr>
                <w:sz w:val="20"/>
                <w:szCs w:val="20"/>
              </w:rPr>
            </w:pPr>
          </w:p>
        </w:tc>
        <w:tc>
          <w:tcPr>
            <w:tcW w:w="28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FB6F823" w14:textId="15B6AB0B" w:rsidR="008E0D37" w:rsidRPr="008E0D37"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695A35CC" w14:textId="1BCC9014" w:rsidR="008E0D37" w:rsidRPr="008E0D37" w:rsidRDefault="008E0D37">
            <w:pPr>
              <w:jc w:val="center"/>
              <w:rPr>
                <w:color w:val="000000"/>
                <w:sz w:val="20"/>
                <w:szCs w:val="20"/>
              </w:rPr>
            </w:pPr>
          </w:p>
        </w:tc>
        <w:tc>
          <w:tcPr>
            <w:tcW w:w="345"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4CEC034" w14:textId="11C002E5" w:rsidR="008E0D37" w:rsidRPr="008E0D37" w:rsidRDefault="008E0D37">
            <w:pPr>
              <w:jc w:val="center"/>
              <w:rPr>
                <w:sz w:val="20"/>
                <w:szCs w:val="20"/>
              </w:rPr>
            </w:pPr>
          </w:p>
        </w:tc>
        <w:tc>
          <w:tcPr>
            <w:tcW w:w="28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AB076B6" w14:textId="0E3BC471" w:rsidR="008E0D37" w:rsidRPr="008E0D37"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6EC70C91" w14:textId="25EBCDD6" w:rsidR="008E0D37" w:rsidRPr="008E0D37" w:rsidRDefault="008E0D37">
            <w:pPr>
              <w:jc w:val="center"/>
              <w:rPr>
                <w:color w:val="000000"/>
                <w:sz w:val="20"/>
                <w:szCs w:val="20"/>
              </w:rPr>
            </w:pPr>
          </w:p>
        </w:tc>
        <w:tc>
          <w:tcPr>
            <w:tcW w:w="51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539F875" w14:textId="624459B7" w:rsidR="008E0D37" w:rsidRPr="008E0D37" w:rsidRDefault="008E0D37">
            <w:pPr>
              <w:jc w:val="center"/>
              <w:rPr>
                <w:sz w:val="20"/>
                <w:szCs w:val="20"/>
              </w:rPr>
            </w:pPr>
          </w:p>
        </w:tc>
        <w:tc>
          <w:tcPr>
            <w:tcW w:w="395"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BFD7BFD" w14:textId="7332AC8D" w:rsidR="008E0D37" w:rsidRPr="008E0D37" w:rsidRDefault="008E0D37">
            <w:pPr>
              <w:jc w:val="center"/>
              <w:rPr>
                <w:sz w:val="20"/>
                <w:szCs w:val="20"/>
              </w:rPr>
            </w:pPr>
          </w:p>
        </w:tc>
        <w:tc>
          <w:tcPr>
            <w:tcW w:w="30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68A90CC" w14:textId="7A128CB6" w:rsidR="008E0D37" w:rsidRPr="008E0D37" w:rsidRDefault="008E0D37">
            <w:pPr>
              <w:jc w:val="center"/>
              <w:rPr>
                <w:sz w:val="20"/>
                <w:szCs w:val="20"/>
              </w:rPr>
            </w:pPr>
          </w:p>
        </w:tc>
        <w:tc>
          <w:tcPr>
            <w:tcW w:w="51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CE1AD90" w14:textId="34AD2D1C" w:rsidR="008E0D37" w:rsidRPr="008E0D37" w:rsidRDefault="008E0D37">
            <w:pPr>
              <w:jc w:val="center"/>
              <w:rPr>
                <w:sz w:val="20"/>
                <w:szCs w:val="20"/>
              </w:rPr>
            </w:pPr>
          </w:p>
        </w:tc>
        <w:tc>
          <w:tcPr>
            <w:tcW w:w="51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08CC43C9" w14:textId="72A862E9" w:rsidR="008E0D37" w:rsidRPr="008E0D37"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1F511AA9" w14:textId="40E77962" w:rsidR="008E0D37" w:rsidRPr="008E0D37" w:rsidRDefault="008E0D37">
            <w:pPr>
              <w:jc w:val="center"/>
              <w:rPr>
                <w:color w:val="000000"/>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0578986B" w14:textId="0B287E4B" w:rsidR="008E0D37" w:rsidRPr="008E0D37" w:rsidRDefault="008E0D37">
            <w:pPr>
              <w:jc w:val="center"/>
              <w:rPr>
                <w:color w:val="000000"/>
                <w:sz w:val="20"/>
                <w:szCs w:val="20"/>
              </w:rPr>
            </w:pPr>
          </w:p>
        </w:tc>
        <w:tc>
          <w:tcPr>
            <w:tcW w:w="51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E7BFE3C" w14:textId="2B81C6FC" w:rsidR="008E0D37" w:rsidRPr="008E0D37" w:rsidRDefault="008E0D37">
            <w:pPr>
              <w:jc w:val="center"/>
              <w:rPr>
                <w:sz w:val="20"/>
                <w:szCs w:val="20"/>
              </w:rPr>
            </w:pPr>
          </w:p>
        </w:tc>
        <w:tc>
          <w:tcPr>
            <w:tcW w:w="51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5D53AEE" w14:textId="2CBB6CD1" w:rsidR="008E0D37" w:rsidRPr="008E0D37"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1042B553" w14:textId="2D4A5B67" w:rsidR="008E0D37" w:rsidRPr="008E0D37" w:rsidRDefault="008E0D37">
            <w:pPr>
              <w:jc w:val="center"/>
              <w:rPr>
                <w:color w:val="000000"/>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6A32E42D" w14:textId="18A15137" w:rsidR="008E0D37" w:rsidRPr="008E0D37" w:rsidRDefault="008E0D37">
            <w:pPr>
              <w:jc w:val="center"/>
              <w:rPr>
                <w:color w:val="000000"/>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3D6886F0" w14:textId="7FB579CD" w:rsidR="008E0D37" w:rsidRPr="008E0D37" w:rsidRDefault="008E0D37">
            <w:pPr>
              <w:jc w:val="center"/>
              <w:rPr>
                <w:color w:val="000000"/>
                <w:sz w:val="20"/>
                <w:szCs w:val="20"/>
              </w:rPr>
            </w:pPr>
          </w:p>
        </w:tc>
      </w:tr>
    </w:tbl>
    <w:p w14:paraId="47FB6F6B" w14:textId="61343849" w:rsidR="008E0D37" w:rsidRDefault="008566BB" w:rsidP="00BD6CCB">
      <w:pPr>
        <w:pStyle w:val="Luettelokappale"/>
        <w:ind w:left="993"/>
      </w:pPr>
      <w:r>
        <w:t>“;</w:t>
      </w:r>
    </w:p>
    <w:p w14:paraId="2B521485" w14:textId="77777777" w:rsidR="008E0D37" w:rsidRDefault="008E0D37" w:rsidP="00BD6CCB">
      <w:pPr>
        <w:pStyle w:val="Luettelokappale"/>
        <w:ind w:left="993"/>
      </w:pPr>
    </w:p>
    <w:p w14:paraId="58B0D0EE" w14:textId="197C226F" w:rsidR="008E0D37" w:rsidRDefault="008E0D37" w:rsidP="008E0D37">
      <w:pPr>
        <w:pStyle w:val="Luettelokappale"/>
        <w:numPr>
          <w:ilvl w:val="0"/>
          <w:numId w:val="12"/>
        </w:numPr>
        <w:ind w:left="993" w:hanging="709"/>
      </w:pPr>
      <w:r w:rsidRPr="00836589">
        <w:t xml:space="preserve">In template S.12.01 </w:t>
      </w:r>
      <w:r>
        <w:t>row R024</w:t>
      </w:r>
      <w:r w:rsidRPr="00836589">
        <w:t>0</w:t>
      </w:r>
      <w:r>
        <w:t xml:space="preserve"> and R0250</w:t>
      </w:r>
      <w:r w:rsidRPr="00836589">
        <w:t xml:space="preserve"> </w:t>
      </w:r>
      <w:r>
        <w:t>are</w:t>
      </w:r>
      <w:r w:rsidRPr="00836589">
        <w:t xml:space="preserve"> replaced by the </w:t>
      </w:r>
      <w:commentRangeStart w:id="6"/>
      <w:r w:rsidRPr="00836589">
        <w:t>following</w:t>
      </w:r>
      <w:commentRangeEnd w:id="6"/>
      <w:r w:rsidR="00C912C6">
        <w:rPr>
          <w:rStyle w:val="Kommentinviite"/>
          <w:lang w:eastAsia="pt-PT"/>
        </w:rPr>
        <w:commentReference w:id="6"/>
      </w:r>
      <w:r w:rsidRPr="00836589">
        <w:t>;</w:t>
      </w:r>
    </w:p>
    <w:p w14:paraId="4A41CC1F" w14:textId="258089E8" w:rsidR="008E0D37" w:rsidRDefault="008566BB" w:rsidP="00BD6CCB">
      <w:pPr>
        <w:pStyle w:val="Luettelokappale"/>
        <w:ind w:left="993"/>
      </w:pPr>
      <w:r>
        <w:t>“</w:t>
      </w:r>
    </w:p>
    <w:tbl>
      <w:tblPr>
        <w:tblW w:w="8604" w:type="dxa"/>
        <w:tblInd w:w="534" w:type="dxa"/>
        <w:tblLook w:val="04A0" w:firstRow="1" w:lastRow="0" w:firstColumn="1" w:lastColumn="0" w:noHBand="0" w:noVBand="1"/>
      </w:tblPr>
      <w:tblGrid>
        <w:gridCol w:w="1363"/>
        <w:gridCol w:w="750"/>
        <w:gridCol w:w="222"/>
        <w:gridCol w:w="358"/>
        <w:gridCol w:w="283"/>
        <w:gridCol w:w="284"/>
        <w:gridCol w:w="427"/>
        <w:gridCol w:w="282"/>
        <w:gridCol w:w="283"/>
        <w:gridCol w:w="284"/>
        <w:gridCol w:w="222"/>
        <w:gridCol w:w="338"/>
        <w:gridCol w:w="290"/>
        <w:gridCol w:w="427"/>
        <w:gridCol w:w="287"/>
        <w:gridCol w:w="222"/>
        <w:gridCol w:w="427"/>
        <w:gridCol w:w="338"/>
        <w:gridCol w:w="236"/>
        <w:gridCol w:w="427"/>
        <w:gridCol w:w="427"/>
        <w:gridCol w:w="427"/>
      </w:tblGrid>
      <w:tr w:rsidR="008E0D37" w:rsidRPr="00BD6CCB" w14:paraId="6FC595D0" w14:textId="77777777" w:rsidTr="008566BB">
        <w:trPr>
          <w:trHeight w:val="300"/>
        </w:trPr>
        <w:tc>
          <w:tcPr>
            <w:tcW w:w="1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8E9C" w14:textId="77777777" w:rsidR="008E0D37" w:rsidRPr="00BD6CCB" w:rsidRDefault="008E0D37" w:rsidP="00BD6CCB">
            <w:pPr>
              <w:ind w:firstLineChars="300" w:firstLine="600"/>
              <w:rPr>
                <w:i/>
                <w:iCs/>
                <w:sz w:val="20"/>
                <w:szCs w:val="20"/>
              </w:rPr>
            </w:pPr>
            <w:r w:rsidRPr="00BD6CCB">
              <w:rPr>
                <w:i/>
                <w:iCs/>
                <w:sz w:val="20"/>
                <w:szCs w:val="20"/>
              </w:rPr>
              <w:t>Future guaranteed benefits</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9FB25" w14:textId="77777777" w:rsidR="008E0D37" w:rsidRPr="00BD6CCB" w:rsidRDefault="008E0D37">
            <w:pPr>
              <w:jc w:val="center"/>
              <w:rPr>
                <w:color w:val="000000"/>
                <w:sz w:val="20"/>
                <w:szCs w:val="20"/>
              </w:rPr>
            </w:pPr>
            <w:r w:rsidRPr="00BD6CCB">
              <w:rPr>
                <w:color w:val="000000"/>
                <w:sz w:val="20"/>
                <w:szCs w:val="20"/>
              </w:rPr>
              <w:t>R0240</w:t>
            </w: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287499AD" w14:textId="7367529D" w:rsidR="008E0D37" w:rsidRPr="00BD6CCB" w:rsidRDefault="008E0D37">
            <w:pPr>
              <w:jc w:val="center"/>
              <w:rPr>
                <w:color w:val="000000"/>
                <w:sz w:val="20"/>
                <w:szCs w:val="20"/>
              </w:rPr>
            </w:pPr>
          </w:p>
        </w:tc>
        <w:tc>
          <w:tcPr>
            <w:tcW w:w="35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C385685" w14:textId="5DD93F1A" w:rsidR="008E0D37" w:rsidRPr="00BD6CCB" w:rsidRDefault="008E0D37">
            <w:pPr>
              <w:jc w:val="center"/>
              <w:rPr>
                <w:sz w:val="20"/>
                <w:szCs w:val="20"/>
              </w:rPr>
            </w:pPr>
          </w:p>
        </w:tc>
        <w:tc>
          <w:tcPr>
            <w:tcW w:w="28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85BE989" w14:textId="7256C233" w:rsidR="008E0D37" w:rsidRPr="00BD6CCB" w:rsidRDefault="008E0D37">
            <w:pPr>
              <w:jc w:val="center"/>
              <w:rPr>
                <w:sz w:val="20"/>
                <w:szCs w:val="20"/>
              </w:rPr>
            </w:pPr>
          </w:p>
        </w:tc>
        <w:tc>
          <w:tcPr>
            <w:tcW w:w="28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91AEF9B" w14:textId="0565251A" w:rsidR="008E0D37" w:rsidRPr="00BD6CCB" w:rsidRDefault="008E0D37">
            <w:pPr>
              <w:jc w:val="center"/>
              <w:rPr>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966E80C" w14:textId="144D129E" w:rsidR="008E0D37" w:rsidRPr="00BD6CCB" w:rsidRDefault="008E0D37">
            <w:pPr>
              <w:jc w:val="center"/>
              <w:rPr>
                <w:sz w:val="20"/>
                <w:szCs w:val="20"/>
              </w:rPr>
            </w:pPr>
          </w:p>
        </w:tc>
        <w:tc>
          <w:tcPr>
            <w:tcW w:w="28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BE0ECEC" w14:textId="6BCFE567" w:rsidR="008E0D37" w:rsidRPr="00BD6CCB" w:rsidRDefault="008E0D37">
            <w:pPr>
              <w:jc w:val="center"/>
              <w:rPr>
                <w:sz w:val="20"/>
                <w:szCs w:val="20"/>
              </w:rPr>
            </w:pPr>
          </w:p>
        </w:tc>
        <w:tc>
          <w:tcPr>
            <w:tcW w:w="28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EEE0E65" w14:textId="21A08E7D" w:rsidR="008E0D37" w:rsidRPr="00BD6CCB" w:rsidRDefault="008E0D37">
            <w:pPr>
              <w:jc w:val="center"/>
              <w:rPr>
                <w:sz w:val="20"/>
                <w:szCs w:val="20"/>
              </w:rPr>
            </w:pPr>
          </w:p>
        </w:tc>
        <w:tc>
          <w:tcPr>
            <w:tcW w:w="28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DAB31C6" w14:textId="278724CF" w:rsidR="008E0D37" w:rsidRPr="00BD6CCB"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5BA16726" w14:textId="069BD30C" w:rsidR="008E0D37" w:rsidRPr="00BD6CCB" w:rsidRDefault="008E0D37">
            <w:pPr>
              <w:jc w:val="center"/>
              <w:rPr>
                <w:color w:val="000000"/>
                <w:sz w:val="20"/>
                <w:szCs w:val="20"/>
              </w:rPr>
            </w:pPr>
          </w:p>
        </w:tc>
        <w:tc>
          <w:tcPr>
            <w:tcW w:w="33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9FEFE23" w14:textId="22FC2F87" w:rsidR="008E0D37" w:rsidRPr="00BD6CCB" w:rsidRDefault="008E0D37">
            <w:pPr>
              <w:jc w:val="center"/>
              <w:rPr>
                <w:sz w:val="20"/>
                <w:szCs w:val="20"/>
              </w:rPr>
            </w:pPr>
          </w:p>
        </w:tc>
        <w:tc>
          <w:tcPr>
            <w:tcW w:w="29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6685CAF" w14:textId="3FB8226A" w:rsidR="008E0D37" w:rsidRPr="00BD6CCB" w:rsidRDefault="008E0D37">
            <w:pPr>
              <w:jc w:val="center"/>
              <w:rPr>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0CB8627F" w14:textId="160D0438" w:rsidR="008E0D37" w:rsidRPr="00BD6CCB" w:rsidRDefault="008E0D37">
            <w:pPr>
              <w:jc w:val="center"/>
              <w:rPr>
                <w:sz w:val="20"/>
                <w:szCs w:val="20"/>
              </w:rPr>
            </w:pPr>
          </w:p>
        </w:tc>
        <w:tc>
          <w:tcPr>
            <w:tcW w:w="28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8A7491A" w14:textId="0C67854E" w:rsidR="008E0D37" w:rsidRPr="00BD6CCB"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64AC2F4D" w14:textId="7A71B436" w:rsidR="008E0D37" w:rsidRPr="00BD6CCB" w:rsidRDefault="008E0D37">
            <w:pPr>
              <w:jc w:val="center"/>
              <w:rPr>
                <w:color w:val="000000"/>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C9F9A67" w14:textId="771B6244" w:rsidR="008E0D37" w:rsidRPr="00BD6CCB" w:rsidRDefault="008E0D37">
            <w:pPr>
              <w:jc w:val="center"/>
              <w:rPr>
                <w:sz w:val="20"/>
                <w:szCs w:val="20"/>
              </w:rPr>
            </w:pPr>
          </w:p>
        </w:tc>
        <w:tc>
          <w:tcPr>
            <w:tcW w:w="33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1F33DCE" w14:textId="7095C50F" w:rsidR="008E0D37" w:rsidRPr="00BD6CCB" w:rsidRDefault="008E0D37">
            <w:pPr>
              <w:jc w:val="center"/>
              <w:rPr>
                <w:sz w:val="20"/>
                <w:szCs w:val="20"/>
              </w:rPr>
            </w:pPr>
          </w:p>
        </w:tc>
        <w:tc>
          <w:tcPr>
            <w:tcW w:w="236"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B96E03F" w14:textId="3CB5C21E" w:rsidR="008E0D37" w:rsidRPr="00BD6CCB" w:rsidRDefault="008E0D37">
            <w:pPr>
              <w:jc w:val="center"/>
              <w:rPr>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625DDFA" w14:textId="23E4C182" w:rsidR="008E0D37" w:rsidRPr="00BD6CCB" w:rsidRDefault="008E0D37">
            <w:pPr>
              <w:jc w:val="center"/>
              <w:rPr>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5C19ADB" w14:textId="19E04C14" w:rsidR="008E0D37" w:rsidRPr="00BD6CCB" w:rsidRDefault="008E0D37">
            <w:pPr>
              <w:jc w:val="center"/>
              <w:rPr>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F5EB7FE" w14:textId="4CD3696A" w:rsidR="008E0D37" w:rsidRPr="00BD6CCB" w:rsidRDefault="008E0D37">
            <w:pPr>
              <w:jc w:val="center"/>
              <w:rPr>
                <w:sz w:val="20"/>
                <w:szCs w:val="20"/>
              </w:rPr>
            </w:pPr>
          </w:p>
        </w:tc>
      </w:tr>
      <w:tr w:rsidR="008E0D37" w:rsidRPr="00BD6CCB" w14:paraId="4F1DD9AA" w14:textId="77777777" w:rsidTr="008566BB">
        <w:trPr>
          <w:trHeight w:val="300"/>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0A114739" w14:textId="77777777" w:rsidR="008E0D37" w:rsidRPr="00BD6CCB" w:rsidRDefault="008E0D37" w:rsidP="00BD6CCB">
            <w:pPr>
              <w:ind w:firstLineChars="300" w:firstLine="600"/>
              <w:rPr>
                <w:i/>
                <w:iCs/>
                <w:sz w:val="20"/>
                <w:szCs w:val="20"/>
              </w:rPr>
            </w:pPr>
            <w:r w:rsidRPr="00BD6CCB">
              <w:rPr>
                <w:i/>
                <w:iCs/>
                <w:sz w:val="20"/>
                <w:szCs w:val="20"/>
              </w:rPr>
              <w:t>Future discretionary benefits</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53E61685" w14:textId="77777777" w:rsidR="008E0D37" w:rsidRPr="00BD6CCB" w:rsidRDefault="008E0D37">
            <w:pPr>
              <w:jc w:val="center"/>
              <w:rPr>
                <w:color w:val="000000"/>
                <w:sz w:val="20"/>
                <w:szCs w:val="20"/>
              </w:rPr>
            </w:pPr>
            <w:r w:rsidRPr="00BD6CCB">
              <w:rPr>
                <w:color w:val="000000"/>
                <w:sz w:val="20"/>
                <w:szCs w:val="20"/>
              </w:rPr>
              <w:t>R0250</w:t>
            </w:r>
          </w:p>
        </w:tc>
        <w:tc>
          <w:tcPr>
            <w:tcW w:w="222" w:type="dxa"/>
            <w:tcBorders>
              <w:top w:val="nil"/>
              <w:left w:val="nil"/>
              <w:bottom w:val="single" w:sz="4" w:space="0" w:color="auto"/>
              <w:right w:val="single" w:sz="4" w:space="0" w:color="auto"/>
            </w:tcBorders>
            <w:shd w:val="clear" w:color="auto" w:fill="auto"/>
            <w:vAlign w:val="center"/>
            <w:hideMark/>
          </w:tcPr>
          <w:p w14:paraId="3CFACABA" w14:textId="657FF2A7" w:rsidR="008E0D37" w:rsidRPr="00BD6CCB" w:rsidRDefault="008E0D37">
            <w:pPr>
              <w:jc w:val="center"/>
              <w:rPr>
                <w:color w:val="000000"/>
                <w:sz w:val="20"/>
                <w:szCs w:val="20"/>
              </w:rPr>
            </w:pPr>
          </w:p>
        </w:tc>
        <w:tc>
          <w:tcPr>
            <w:tcW w:w="358"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C401650" w14:textId="788CE720" w:rsidR="008E0D37" w:rsidRPr="00BD6CCB" w:rsidRDefault="008E0D37">
            <w:pPr>
              <w:jc w:val="center"/>
              <w:rPr>
                <w:sz w:val="20"/>
                <w:szCs w:val="20"/>
              </w:rPr>
            </w:pPr>
          </w:p>
        </w:tc>
        <w:tc>
          <w:tcPr>
            <w:tcW w:w="283"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1A4E59C" w14:textId="508BBD7F" w:rsidR="008E0D37" w:rsidRPr="00BD6CCB" w:rsidRDefault="008E0D37">
            <w:pPr>
              <w:jc w:val="center"/>
              <w:rPr>
                <w:sz w:val="20"/>
                <w:szCs w:val="20"/>
              </w:rPr>
            </w:pPr>
          </w:p>
        </w:tc>
        <w:tc>
          <w:tcPr>
            <w:tcW w:w="28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E0976BF" w14:textId="1BF1892E" w:rsidR="008E0D37" w:rsidRPr="00BD6CCB" w:rsidRDefault="008E0D37">
            <w:pPr>
              <w:jc w:val="center"/>
              <w:rPr>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C1D7EDC" w14:textId="1C286D99" w:rsidR="008E0D37" w:rsidRPr="00BD6CCB" w:rsidRDefault="008E0D37">
            <w:pPr>
              <w:jc w:val="center"/>
              <w:rPr>
                <w:sz w:val="20"/>
                <w:szCs w:val="20"/>
              </w:rPr>
            </w:pPr>
          </w:p>
        </w:tc>
        <w:tc>
          <w:tcPr>
            <w:tcW w:w="28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298B955" w14:textId="56014FC9" w:rsidR="008E0D37" w:rsidRPr="00BD6CCB" w:rsidRDefault="008E0D37">
            <w:pPr>
              <w:jc w:val="center"/>
              <w:rPr>
                <w:sz w:val="20"/>
                <w:szCs w:val="20"/>
              </w:rPr>
            </w:pPr>
          </w:p>
        </w:tc>
        <w:tc>
          <w:tcPr>
            <w:tcW w:w="283"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080AABA7" w14:textId="0B5EBD9F" w:rsidR="008E0D37" w:rsidRPr="00BD6CCB" w:rsidRDefault="008E0D37">
            <w:pPr>
              <w:jc w:val="center"/>
              <w:rPr>
                <w:sz w:val="20"/>
                <w:szCs w:val="20"/>
              </w:rPr>
            </w:pPr>
          </w:p>
        </w:tc>
        <w:tc>
          <w:tcPr>
            <w:tcW w:w="28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C67DADF" w14:textId="4C9D29F1" w:rsidR="008E0D37" w:rsidRPr="00BD6CCB" w:rsidRDefault="008E0D37">
            <w:pPr>
              <w:jc w:val="center"/>
              <w:rPr>
                <w:sz w:val="20"/>
                <w:szCs w:val="20"/>
              </w:rPr>
            </w:pPr>
          </w:p>
        </w:tc>
        <w:tc>
          <w:tcPr>
            <w:tcW w:w="222" w:type="dxa"/>
            <w:tcBorders>
              <w:top w:val="nil"/>
              <w:left w:val="nil"/>
              <w:bottom w:val="single" w:sz="4" w:space="0" w:color="auto"/>
              <w:right w:val="single" w:sz="4" w:space="0" w:color="auto"/>
            </w:tcBorders>
            <w:shd w:val="clear" w:color="auto" w:fill="auto"/>
            <w:vAlign w:val="center"/>
            <w:hideMark/>
          </w:tcPr>
          <w:p w14:paraId="57444F23" w14:textId="445EF0B2" w:rsidR="008E0D37" w:rsidRPr="00BD6CCB" w:rsidRDefault="008E0D37">
            <w:pPr>
              <w:jc w:val="center"/>
              <w:rPr>
                <w:color w:val="000000"/>
                <w:sz w:val="20"/>
                <w:szCs w:val="20"/>
              </w:rPr>
            </w:pPr>
          </w:p>
        </w:tc>
        <w:tc>
          <w:tcPr>
            <w:tcW w:w="338"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29CDF68" w14:textId="0944B6F5" w:rsidR="008E0D37" w:rsidRPr="00BD6CCB" w:rsidRDefault="008E0D37">
            <w:pPr>
              <w:jc w:val="center"/>
              <w:rPr>
                <w:sz w:val="20"/>
                <w:szCs w:val="20"/>
              </w:rPr>
            </w:pPr>
          </w:p>
        </w:tc>
        <w:tc>
          <w:tcPr>
            <w:tcW w:w="29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073395FD" w14:textId="2C2B83C3" w:rsidR="008E0D37" w:rsidRPr="00BD6CCB" w:rsidRDefault="008E0D37">
            <w:pPr>
              <w:jc w:val="center"/>
              <w:rPr>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10DD277" w14:textId="1C6A9081" w:rsidR="008E0D37" w:rsidRPr="00BD6CCB" w:rsidRDefault="008E0D37">
            <w:pPr>
              <w:jc w:val="center"/>
              <w:rPr>
                <w:sz w:val="20"/>
                <w:szCs w:val="20"/>
              </w:rPr>
            </w:pPr>
          </w:p>
        </w:tc>
        <w:tc>
          <w:tcPr>
            <w:tcW w:w="28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A500AFA" w14:textId="3F367556" w:rsidR="008E0D37" w:rsidRPr="00BD6CCB" w:rsidRDefault="008E0D37">
            <w:pPr>
              <w:jc w:val="center"/>
              <w:rPr>
                <w:sz w:val="20"/>
                <w:szCs w:val="20"/>
              </w:rPr>
            </w:pPr>
          </w:p>
        </w:tc>
        <w:tc>
          <w:tcPr>
            <w:tcW w:w="222" w:type="dxa"/>
            <w:tcBorders>
              <w:top w:val="nil"/>
              <w:left w:val="nil"/>
              <w:bottom w:val="single" w:sz="4" w:space="0" w:color="auto"/>
              <w:right w:val="single" w:sz="4" w:space="0" w:color="auto"/>
            </w:tcBorders>
            <w:shd w:val="clear" w:color="auto" w:fill="auto"/>
            <w:vAlign w:val="center"/>
            <w:hideMark/>
          </w:tcPr>
          <w:p w14:paraId="1BC1FA4E" w14:textId="2740413B" w:rsidR="008E0D37" w:rsidRPr="00BD6CCB" w:rsidRDefault="008E0D37">
            <w:pPr>
              <w:jc w:val="center"/>
              <w:rPr>
                <w:color w:val="000000"/>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BAC41DF" w14:textId="671337DE" w:rsidR="008E0D37" w:rsidRPr="00BD6CCB" w:rsidRDefault="008E0D37">
            <w:pPr>
              <w:jc w:val="center"/>
              <w:rPr>
                <w:sz w:val="20"/>
                <w:szCs w:val="20"/>
              </w:rPr>
            </w:pPr>
          </w:p>
        </w:tc>
        <w:tc>
          <w:tcPr>
            <w:tcW w:w="338"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A68096A" w14:textId="67532BC5" w:rsidR="008E0D37" w:rsidRPr="00BD6CCB" w:rsidRDefault="008E0D37">
            <w:pPr>
              <w:jc w:val="center"/>
              <w:rPr>
                <w:sz w:val="20"/>
                <w:szCs w:val="20"/>
              </w:rPr>
            </w:pPr>
          </w:p>
        </w:tc>
        <w:tc>
          <w:tcPr>
            <w:tcW w:w="236"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43DF5A9" w14:textId="7CC30286" w:rsidR="008E0D37" w:rsidRPr="00BD6CCB" w:rsidRDefault="008E0D37">
            <w:pPr>
              <w:jc w:val="center"/>
              <w:rPr>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806192D" w14:textId="6044C657" w:rsidR="008E0D37" w:rsidRPr="00BD6CCB" w:rsidRDefault="008E0D37">
            <w:pPr>
              <w:jc w:val="center"/>
              <w:rPr>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D00C9D0" w14:textId="4979D497" w:rsidR="008E0D37" w:rsidRPr="00BD6CCB" w:rsidRDefault="008E0D37">
            <w:pPr>
              <w:jc w:val="center"/>
              <w:rPr>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24AEAC8" w14:textId="61DD8EA7" w:rsidR="008E0D37" w:rsidRPr="00BD6CCB" w:rsidRDefault="008E0D37">
            <w:pPr>
              <w:jc w:val="center"/>
              <w:rPr>
                <w:sz w:val="20"/>
                <w:szCs w:val="20"/>
              </w:rPr>
            </w:pPr>
          </w:p>
        </w:tc>
      </w:tr>
    </w:tbl>
    <w:p w14:paraId="211D4881" w14:textId="608355E4" w:rsidR="008E0D37" w:rsidRDefault="008566BB" w:rsidP="00BD6CCB">
      <w:pPr>
        <w:pStyle w:val="Luettelokappale"/>
        <w:ind w:left="993"/>
      </w:pPr>
      <w:r>
        <w:t>“</w:t>
      </w:r>
      <w:r w:rsidR="008E0D37">
        <w:t>;</w:t>
      </w:r>
    </w:p>
    <w:p w14:paraId="5940AC42" w14:textId="77777777" w:rsidR="008E0D37" w:rsidRDefault="008E0D37" w:rsidP="00BD6CCB">
      <w:pPr>
        <w:pStyle w:val="Luettelokappale"/>
        <w:ind w:left="993"/>
      </w:pPr>
    </w:p>
    <w:p w14:paraId="7909C66F" w14:textId="069E67BF" w:rsidR="00B979CB" w:rsidRDefault="00B979CB" w:rsidP="00F82AA3">
      <w:pPr>
        <w:pStyle w:val="Luettelokappale"/>
        <w:numPr>
          <w:ilvl w:val="0"/>
          <w:numId w:val="12"/>
        </w:numPr>
        <w:ind w:left="993" w:hanging="709"/>
      </w:pPr>
      <w:r w:rsidRPr="00B922FE">
        <w:t xml:space="preserve">In </w:t>
      </w:r>
      <w:r>
        <w:t xml:space="preserve">template </w:t>
      </w:r>
      <w:r w:rsidRPr="00B922FE">
        <w:t>S.26.01.01, S.26.01.04 and SR.26.01.01</w:t>
      </w:r>
      <w:r>
        <w:t xml:space="preserve">, between row R0290 and R0300 a new row is inserted for the </w:t>
      </w:r>
      <w:commentRangeStart w:id="7"/>
      <w:r>
        <w:t>following</w:t>
      </w:r>
      <w:commentRangeEnd w:id="7"/>
      <w:r w:rsidRPr="00F82AA3">
        <w:commentReference w:id="7"/>
      </w:r>
      <w:r>
        <w:t>:</w:t>
      </w:r>
    </w:p>
    <w:p w14:paraId="2D57EDDB" w14:textId="24DD58A5" w:rsidR="00B979CB" w:rsidRDefault="00060CE5" w:rsidP="00D656B7">
      <w:pPr>
        <w:pStyle w:val="Luettelokappale"/>
        <w:ind w:left="993"/>
        <w:jc w:val="both"/>
      </w:pPr>
      <w:r>
        <w:t>“</w:t>
      </w:r>
    </w:p>
    <w:tbl>
      <w:tblPr>
        <w:tblW w:w="8626" w:type="dxa"/>
        <w:tblInd w:w="534" w:type="dxa"/>
        <w:tblLayout w:type="fixed"/>
        <w:tblLook w:val="04A0" w:firstRow="1" w:lastRow="0" w:firstColumn="1" w:lastColumn="0" w:noHBand="0" w:noVBand="1"/>
      </w:tblPr>
      <w:tblGrid>
        <w:gridCol w:w="3685"/>
        <w:gridCol w:w="992"/>
        <w:gridCol w:w="709"/>
        <w:gridCol w:w="709"/>
        <w:gridCol w:w="844"/>
        <w:gridCol w:w="843"/>
        <w:gridCol w:w="844"/>
      </w:tblGrid>
      <w:tr w:rsidR="00B979CB" w:rsidRPr="00CB5EB9" w14:paraId="2B1A890F" w14:textId="77777777" w:rsidTr="008566BB">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E84C4" w14:textId="77777777" w:rsidR="00B979CB" w:rsidRPr="00CB5EB9" w:rsidRDefault="00B979CB" w:rsidP="00A76EDC">
            <w:pPr>
              <w:ind w:firstLineChars="100" w:firstLine="220"/>
              <w:rPr>
                <w:i/>
                <w:iCs/>
                <w:color w:val="000000"/>
                <w:sz w:val="22"/>
                <w:szCs w:val="22"/>
              </w:rPr>
            </w:pPr>
            <w:r w:rsidRPr="00CB5EB9">
              <w:rPr>
                <w:i/>
                <w:iCs/>
                <w:color w:val="000000"/>
                <w:sz w:val="22"/>
                <w:szCs w:val="22"/>
              </w:rPr>
              <w:t>qualifying infrastructure corporate equities</w:t>
            </w:r>
          </w:p>
        </w:tc>
        <w:tc>
          <w:tcPr>
            <w:tcW w:w="992" w:type="dxa"/>
            <w:tcBorders>
              <w:top w:val="single" w:sz="4" w:space="0" w:color="auto"/>
              <w:left w:val="nil"/>
              <w:bottom w:val="single" w:sz="4" w:space="0" w:color="auto"/>
              <w:right w:val="single" w:sz="4" w:space="0" w:color="000080"/>
            </w:tcBorders>
            <w:shd w:val="clear" w:color="auto" w:fill="auto"/>
            <w:noWrap/>
            <w:vAlign w:val="bottom"/>
            <w:hideMark/>
          </w:tcPr>
          <w:p w14:paraId="53081105" w14:textId="3F5B7CAE" w:rsidR="00B979CB" w:rsidRPr="00CB5EB9" w:rsidRDefault="00B979CB" w:rsidP="00A76EDC">
            <w:pPr>
              <w:jc w:val="center"/>
              <w:rPr>
                <w:color w:val="000000"/>
                <w:sz w:val="22"/>
                <w:szCs w:val="22"/>
              </w:rPr>
            </w:pPr>
            <w:r w:rsidRPr="00CB5EB9">
              <w:rPr>
                <w:color w:val="000000"/>
                <w:sz w:val="22"/>
                <w:szCs w:val="22"/>
              </w:rPr>
              <w:t>R0291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1C108" w14:textId="77777777" w:rsidR="00B979CB" w:rsidRPr="00CB5EB9" w:rsidRDefault="00B979CB" w:rsidP="00A76EDC">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822EEAB" w14:textId="77777777" w:rsidR="00B979CB" w:rsidRPr="00CB5EB9" w:rsidRDefault="00B979CB" w:rsidP="00A76EDC">
            <w:pPr>
              <w:jc w:val="center"/>
              <w:rPr>
                <w:sz w:val="22"/>
                <w:szCs w:val="22"/>
              </w:rPr>
            </w:pPr>
          </w:p>
        </w:tc>
        <w:tc>
          <w:tcPr>
            <w:tcW w:w="844" w:type="dxa"/>
            <w:tcBorders>
              <w:top w:val="single" w:sz="4" w:space="0" w:color="auto"/>
              <w:left w:val="single" w:sz="4" w:space="0" w:color="auto"/>
              <w:bottom w:val="single" w:sz="4" w:space="0" w:color="auto"/>
              <w:right w:val="single" w:sz="4" w:space="0" w:color="auto"/>
            </w:tcBorders>
          </w:tcPr>
          <w:p w14:paraId="74E94D56" w14:textId="77777777" w:rsidR="00B979CB" w:rsidRPr="00CB5EB9" w:rsidRDefault="00B979CB" w:rsidP="00A76EDC">
            <w:pPr>
              <w:jc w:val="center"/>
              <w:rPr>
                <w:sz w:val="22"/>
                <w:szCs w:val="22"/>
              </w:rPr>
            </w:pPr>
          </w:p>
        </w:tc>
        <w:tc>
          <w:tcPr>
            <w:tcW w:w="843" w:type="dxa"/>
            <w:tcBorders>
              <w:top w:val="single" w:sz="4" w:space="0" w:color="auto"/>
              <w:left w:val="single" w:sz="4" w:space="0" w:color="auto"/>
              <w:bottom w:val="single" w:sz="4" w:space="0" w:color="auto"/>
              <w:right w:val="single" w:sz="4" w:space="0" w:color="auto"/>
            </w:tcBorders>
          </w:tcPr>
          <w:p w14:paraId="5F89A507" w14:textId="77777777" w:rsidR="00B979CB" w:rsidRPr="00CB5EB9" w:rsidRDefault="00B979CB" w:rsidP="00A76EDC">
            <w:pPr>
              <w:jc w:val="center"/>
              <w:rPr>
                <w:sz w:val="22"/>
                <w:szCs w:val="2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75667" w14:textId="487F87CD" w:rsidR="00B979CB" w:rsidRPr="00CB5EB9" w:rsidRDefault="00B979CB" w:rsidP="00A76EDC">
            <w:pPr>
              <w:jc w:val="center"/>
              <w:rPr>
                <w:sz w:val="22"/>
                <w:szCs w:val="22"/>
              </w:rPr>
            </w:pPr>
          </w:p>
        </w:tc>
      </w:tr>
    </w:tbl>
    <w:p w14:paraId="3408BD8C" w14:textId="5113EB22" w:rsidR="00B979CB" w:rsidRPr="00850EC4" w:rsidRDefault="00060CE5" w:rsidP="00B979CB">
      <w:pPr>
        <w:pStyle w:val="Luettelokappale"/>
        <w:ind w:left="993"/>
        <w:jc w:val="both"/>
      </w:pPr>
      <w:r w:rsidRPr="00850EC4">
        <w:t>“;</w:t>
      </w:r>
    </w:p>
    <w:p w14:paraId="3489F467" w14:textId="18A5FA08" w:rsidR="00434172" w:rsidRPr="00850EC4" w:rsidRDefault="00434172" w:rsidP="00434172">
      <w:pPr>
        <w:pStyle w:val="Luettelokappale"/>
        <w:numPr>
          <w:ilvl w:val="0"/>
          <w:numId w:val="12"/>
        </w:numPr>
        <w:ind w:left="993" w:hanging="709"/>
      </w:pPr>
      <w:r w:rsidRPr="00850EC4">
        <w:t xml:space="preserve">In template S.26.01.01, S.26.01.04 and SR.26.01.01, between row R0412 and R0420 a new row is inserted for the </w:t>
      </w:r>
      <w:commentRangeStart w:id="8"/>
      <w:r w:rsidRPr="00850EC4">
        <w:t>following</w:t>
      </w:r>
      <w:commentRangeEnd w:id="8"/>
      <w:r w:rsidRPr="00850EC4">
        <w:commentReference w:id="8"/>
      </w:r>
      <w:r w:rsidRPr="00850EC4">
        <w:t>:</w:t>
      </w:r>
    </w:p>
    <w:p w14:paraId="2B71ED42" w14:textId="4C18C096" w:rsidR="00434172" w:rsidRPr="00850EC4" w:rsidRDefault="008566BB" w:rsidP="00434172">
      <w:pPr>
        <w:pStyle w:val="Luettelokappale"/>
        <w:ind w:left="993"/>
        <w:jc w:val="both"/>
      </w:pPr>
      <w:r>
        <w:t>“</w:t>
      </w:r>
    </w:p>
    <w:tbl>
      <w:tblPr>
        <w:tblW w:w="8363" w:type="dxa"/>
        <w:tblInd w:w="534" w:type="dxa"/>
        <w:tblLayout w:type="fixed"/>
        <w:tblLook w:val="04A0" w:firstRow="1" w:lastRow="0" w:firstColumn="1" w:lastColumn="0" w:noHBand="0" w:noVBand="1"/>
      </w:tblPr>
      <w:tblGrid>
        <w:gridCol w:w="3685"/>
        <w:gridCol w:w="1134"/>
        <w:gridCol w:w="567"/>
        <w:gridCol w:w="843"/>
        <w:gridCol w:w="575"/>
        <w:gridCol w:w="843"/>
        <w:gridCol w:w="716"/>
      </w:tblGrid>
      <w:tr w:rsidR="00434172" w:rsidRPr="00850EC4" w14:paraId="5AD2AAEE" w14:textId="77777777" w:rsidTr="008566BB">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7CEA6" w14:textId="6E54B980" w:rsidR="00434172" w:rsidRPr="00850EC4" w:rsidRDefault="00434172" w:rsidP="00434172">
            <w:pPr>
              <w:ind w:firstLineChars="100" w:firstLine="220"/>
              <w:rPr>
                <w:i/>
                <w:iCs/>
                <w:color w:val="000000"/>
                <w:sz w:val="22"/>
                <w:szCs w:val="22"/>
              </w:rPr>
            </w:pPr>
            <w:r w:rsidRPr="00850EC4">
              <w:rPr>
                <w:i/>
                <w:iCs/>
                <w:color w:val="000000"/>
                <w:sz w:val="22"/>
                <w:szCs w:val="22"/>
              </w:rPr>
              <w:t>Loans and bonds (qualifying infrastructure corporate investment)</w:t>
            </w:r>
          </w:p>
        </w:tc>
        <w:tc>
          <w:tcPr>
            <w:tcW w:w="1134" w:type="dxa"/>
            <w:tcBorders>
              <w:top w:val="single" w:sz="4" w:space="0" w:color="auto"/>
              <w:left w:val="nil"/>
              <w:bottom w:val="single" w:sz="4" w:space="0" w:color="auto"/>
              <w:right w:val="single" w:sz="4" w:space="0" w:color="000080"/>
            </w:tcBorders>
            <w:shd w:val="clear" w:color="auto" w:fill="auto"/>
            <w:noWrap/>
            <w:vAlign w:val="bottom"/>
            <w:hideMark/>
          </w:tcPr>
          <w:p w14:paraId="5CAF8FB1" w14:textId="0D655078" w:rsidR="00434172" w:rsidRPr="00850EC4" w:rsidRDefault="00434172" w:rsidP="00434172">
            <w:pPr>
              <w:jc w:val="center"/>
              <w:rPr>
                <w:color w:val="000000"/>
                <w:sz w:val="22"/>
                <w:szCs w:val="22"/>
              </w:rPr>
            </w:pPr>
            <w:r w:rsidRPr="00850EC4">
              <w:rPr>
                <w:color w:val="000000"/>
                <w:sz w:val="22"/>
                <w:szCs w:val="22"/>
              </w:rPr>
              <w:t>R0413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86DE3" w14:textId="77777777" w:rsidR="00434172" w:rsidRPr="00850EC4" w:rsidRDefault="00434172" w:rsidP="0010309E">
            <w:pPr>
              <w:jc w:val="center"/>
              <w:rPr>
                <w:sz w:val="22"/>
                <w:szCs w:val="22"/>
              </w:rPr>
            </w:pPr>
          </w:p>
        </w:tc>
        <w:tc>
          <w:tcPr>
            <w:tcW w:w="843" w:type="dxa"/>
            <w:tcBorders>
              <w:top w:val="single" w:sz="4" w:space="0" w:color="auto"/>
              <w:left w:val="single" w:sz="4" w:space="0" w:color="auto"/>
              <w:bottom w:val="single" w:sz="4" w:space="0" w:color="auto"/>
              <w:right w:val="single" w:sz="4" w:space="0" w:color="auto"/>
            </w:tcBorders>
          </w:tcPr>
          <w:p w14:paraId="680C8F94" w14:textId="77777777" w:rsidR="00434172" w:rsidRPr="00850EC4" w:rsidRDefault="00434172" w:rsidP="0010309E">
            <w:pPr>
              <w:jc w:val="center"/>
              <w:rPr>
                <w:sz w:val="22"/>
                <w:szCs w:val="22"/>
              </w:rPr>
            </w:pPr>
          </w:p>
        </w:tc>
        <w:tc>
          <w:tcPr>
            <w:tcW w:w="575" w:type="dxa"/>
            <w:tcBorders>
              <w:top w:val="single" w:sz="4" w:space="0" w:color="auto"/>
              <w:left w:val="single" w:sz="4" w:space="0" w:color="auto"/>
              <w:bottom w:val="single" w:sz="4" w:space="0" w:color="auto"/>
              <w:right w:val="single" w:sz="4" w:space="0" w:color="auto"/>
            </w:tcBorders>
          </w:tcPr>
          <w:p w14:paraId="44ED131B" w14:textId="77777777" w:rsidR="00434172" w:rsidRPr="00850EC4" w:rsidRDefault="00434172" w:rsidP="0010309E">
            <w:pPr>
              <w:jc w:val="center"/>
              <w:rPr>
                <w:sz w:val="22"/>
                <w:szCs w:val="22"/>
              </w:rPr>
            </w:pPr>
          </w:p>
        </w:tc>
        <w:tc>
          <w:tcPr>
            <w:tcW w:w="843" w:type="dxa"/>
            <w:tcBorders>
              <w:top w:val="single" w:sz="4" w:space="0" w:color="auto"/>
              <w:left w:val="single" w:sz="4" w:space="0" w:color="auto"/>
              <w:bottom w:val="single" w:sz="4" w:space="0" w:color="auto"/>
              <w:right w:val="single" w:sz="4" w:space="0" w:color="auto"/>
            </w:tcBorders>
          </w:tcPr>
          <w:p w14:paraId="5602D3B1" w14:textId="77777777" w:rsidR="00434172" w:rsidRPr="00850EC4" w:rsidRDefault="00434172" w:rsidP="0010309E">
            <w:pPr>
              <w:jc w:val="center"/>
              <w:rPr>
                <w:sz w:val="22"/>
                <w:szCs w:val="22"/>
              </w:rPr>
            </w:pP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001D2" w14:textId="77777777" w:rsidR="00434172" w:rsidRPr="00850EC4" w:rsidRDefault="00434172" w:rsidP="0010309E">
            <w:pPr>
              <w:jc w:val="center"/>
              <w:rPr>
                <w:sz w:val="22"/>
                <w:szCs w:val="22"/>
              </w:rPr>
            </w:pPr>
          </w:p>
        </w:tc>
      </w:tr>
    </w:tbl>
    <w:p w14:paraId="5EF45DE7" w14:textId="77777777" w:rsidR="00434172" w:rsidRPr="00850EC4" w:rsidRDefault="00434172" w:rsidP="00434172">
      <w:pPr>
        <w:pStyle w:val="Luettelokappale"/>
        <w:ind w:left="993"/>
        <w:jc w:val="both"/>
      </w:pPr>
      <w:r w:rsidRPr="00850EC4">
        <w:t>“;</w:t>
      </w:r>
    </w:p>
    <w:p w14:paraId="52ABE875" w14:textId="61A2D4B2" w:rsidR="00434172" w:rsidRPr="00850EC4" w:rsidRDefault="00434172" w:rsidP="00434172">
      <w:pPr>
        <w:pStyle w:val="Luettelokappale"/>
        <w:numPr>
          <w:ilvl w:val="0"/>
          <w:numId w:val="12"/>
        </w:numPr>
        <w:ind w:left="993" w:hanging="709"/>
      </w:pPr>
      <w:r w:rsidRPr="00850EC4">
        <w:t xml:space="preserve">In template S.26.01.01, S.26.01.04 and SR.26.01.01, rows R0411 and R0412 are replaced by the </w:t>
      </w:r>
      <w:commentRangeStart w:id="9"/>
      <w:r w:rsidRPr="00850EC4">
        <w:t>following</w:t>
      </w:r>
      <w:commentRangeEnd w:id="9"/>
      <w:r w:rsidR="0077205D">
        <w:rPr>
          <w:rStyle w:val="Kommentinviite"/>
          <w:lang w:eastAsia="pt-PT"/>
        </w:rPr>
        <w:commentReference w:id="9"/>
      </w:r>
      <w:r w:rsidRPr="00850EC4">
        <w:t>:</w:t>
      </w:r>
    </w:p>
    <w:p w14:paraId="2801C0F9" w14:textId="77777777" w:rsidR="00434172" w:rsidRPr="00850EC4" w:rsidRDefault="00434172" w:rsidP="00434172">
      <w:pPr>
        <w:pStyle w:val="Luettelokappale"/>
        <w:ind w:left="993"/>
        <w:jc w:val="both"/>
      </w:pPr>
      <w:r w:rsidRPr="00850EC4">
        <w:t>“</w:t>
      </w:r>
    </w:p>
    <w:tbl>
      <w:tblPr>
        <w:tblW w:w="8356" w:type="dxa"/>
        <w:tblInd w:w="534" w:type="dxa"/>
        <w:tblLayout w:type="fixed"/>
        <w:tblLook w:val="04A0" w:firstRow="1" w:lastRow="0" w:firstColumn="1" w:lastColumn="0" w:noHBand="0" w:noVBand="1"/>
      </w:tblPr>
      <w:tblGrid>
        <w:gridCol w:w="3685"/>
        <w:gridCol w:w="1134"/>
        <w:gridCol w:w="709"/>
        <w:gridCol w:w="567"/>
        <w:gridCol w:w="709"/>
        <w:gridCol w:w="708"/>
        <w:gridCol w:w="844"/>
      </w:tblGrid>
      <w:tr w:rsidR="00434172" w:rsidRPr="0077205D" w14:paraId="1D003CB7" w14:textId="77777777" w:rsidTr="008566BB">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4DC95" w14:textId="22C3FA13" w:rsidR="00434172" w:rsidRPr="0077205D" w:rsidRDefault="00434172" w:rsidP="00434172">
            <w:pPr>
              <w:ind w:firstLineChars="100" w:firstLine="220"/>
              <w:rPr>
                <w:i/>
                <w:iCs/>
                <w:color w:val="000000"/>
                <w:sz w:val="22"/>
                <w:szCs w:val="22"/>
              </w:rPr>
            </w:pPr>
            <w:r w:rsidRPr="0077205D">
              <w:rPr>
                <w:i/>
                <w:iCs/>
                <w:color w:val="000000"/>
                <w:sz w:val="22"/>
                <w:szCs w:val="22"/>
              </w:rPr>
              <w:t>loans and bonds (qualifying investment infrastructure other than infrastructure corporate)</w:t>
            </w:r>
          </w:p>
        </w:tc>
        <w:tc>
          <w:tcPr>
            <w:tcW w:w="1134" w:type="dxa"/>
            <w:tcBorders>
              <w:top w:val="single" w:sz="4" w:space="0" w:color="auto"/>
              <w:left w:val="nil"/>
              <w:bottom w:val="single" w:sz="4" w:space="0" w:color="auto"/>
              <w:right w:val="single" w:sz="4" w:space="0" w:color="000080"/>
            </w:tcBorders>
            <w:shd w:val="clear" w:color="auto" w:fill="auto"/>
            <w:noWrap/>
            <w:vAlign w:val="bottom"/>
            <w:hideMark/>
          </w:tcPr>
          <w:p w14:paraId="609F2EF2" w14:textId="4A11DF92" w:rsidR="00434172" w:rsidRPr="0077205D" w:rsidRDefault="00434172" w:rsidP="00434172">
            <w:pPr>
              <w:jc w:val="center"/>
              <w:rPr>
                <w:color w:val="000000"/>
                <w:sz w:val="22"/>
                <w:szCs w:val="22"/>
              </w:rPr>
            </w:pPr>
            <w:r w:rsidRPr="0077205D">
              <w:rPr>
                <w:color w:val="000000"/>
                <w:sz w:val="22"/>
                <w:szCs w:val="22"/>
              </w:rPr>
              <w:t>R0411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8EC8E" w14:textId="77777777" w:rsidR="00434172" w:rsidRPr="0077205D" w:rsidRDefault="00434172" w:rsidP="0010309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7DF7D9FA" w14:textId="77777777" w:rsidR="00434172" w:rsidRPr="0077205D" w:rsidRDefault="00434172" w:rsidP="0010309E">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8723638" w14:textId="77777777" w:rsidR="00434172" w:rsidRPr="0077205D" w:rsidRDefault="00434172" w:rsidP="0010309E">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4096D97C" w14:textId="77777777" w:rsidR="00434172" w:rsidRPr="0077205D" w:rsidRDefault="00434172" w:rsidP="0010309E">
            <w:pPr>
              <w:jc w:val="center"/>
              <w:rPr>
                <w:sz w:val="22"/>
                <w:szCs w:val="2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24D66" w14:textId="77777777" w:rsidR="00434172" w:rsidRPr="0077205D" w:rsidRDefault="00434172" w:rsidP="0010309E">
            <w:pPr>
              <w:jc w:val="center"/>
              <w:rPr>
                <w:sz w:val="22"/>
                <w:szCs w:val="22"/>
              </w:rPr>
            </w:pPr>
          </w:p>
        </w:tc>
      </w:tr>
      <w:tr w:rsidR="00434172" w:rsidRPr="00CB5EB9" w14:paraId="508A6C4E" w14:textId="77777777" w:rsidTr="008566BB">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6E8E2" w14:textId="7D2ED372" w:rsidR="00434172" w:rsidRPr="0077205D" w:rsidRDefault="00434172" w:rsidP="00434172">
            <w:pPr>
              <w:ind w:firstLineChars="100" w:firstLine="220"/>
              <w:rPr>
                <w:i/>
                <w:iCs/>
                <w:color w:val="000000"/>
                <w:sz w:val="22"/>
                <w:szCs w:val="22"/>
              </w:rPr>
            </w:pPr>
            <w:r w:rsidRPr="0077205D">
              <w:rPr>
                <w:i/>
                <w:iCs/>
                <w:color w:val="000000"/>
                <w:sz w:val="22"/>
                <w:szCs w:val="22"/>
              </w:rPr>
              <w:t>loans and bonds (other than qualifying investment infrastructure and infrastructure corporate)</w:t>
            </w:r>
          </w:p>
        </w:tc>
        <w:tc>
          <w:tcPr>
            <w:tcW w:w="1134" w:type="dxa"/>
            <w:tcBorders>
              <w:top w:val="single" w:sz="4" w:space="0" w:color="auto"/>
              <w:left w:val="nil"/>
              <w:bottom w:val="single" w:sz="4" w:space="0" w:color="auto"/>
              <w:right w:val="single" w:sz="4" w:space="0" w:color="000080"/>
            </w:tcBorders>
            <w:shd w:val="clear" w:color="auto" w:fill="auto"/>
            <w:noWrap/>
            <w:vAlign w:val="bottom"/>
            <w:hideMark/>
          </w:tcPr>
          <w:p w14:paraId="3DC0EB56" w14:textId="09726C0B" w:rsidR="00434172" w:rsidRPr="00CB5EB9" w:rsidRDefault="00434172" w:rsidP="00434172">
            <w:pPr>
              <w:jc w:val="center"/>
              <w:rPr>
                <w:color w:val="000000"/>
                <w:sz w:val="22"/>
                <w:szCs w:val="22"/>
              </w:rPr>
            </w:pPr>
            <w:r w:rsidRPr="0077205D">
              <w:rPr>
                <w:color w:val="000000"/>
                <w:sz w:val="22"/>
                <w:szCs w:val="22"/>
              </w:rPr>
              <w:t>R0412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115CA" w14:textId="77777777" w:rsidR="00434172" w:rsidRPr="00CB5EB9" w:rsidRDefault="00434172" w:rsidP="0010309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037DAE2B" w14:textId="77777777" w:rsidR="00434172" w:rsidRPr="00CB5EB9" w:rsidRDefault="00434172" w:rsidP="0010309E">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78F5B8D" w14:textId="77777777" w:rsidR="00434172" w:rsidRPr="00CB5EB9" w:rsidRDefault="00434172" w:rsidP="0010309E">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B7DEFB" w14:textId="77777777" w:rsidR="00434172" w:rsidRPr="00CB5EB9" w:rsidRDefault="00434172" w:rsidP="0010309E">
            <w:pPr>
              <w:jc w:val="center"/>
              <w:rPr>
                <w:sz w:val="22"/>
                <w:szCs w:val="2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203D9" w14:textId="77777777" w:rsidR="00434172" w:rsidRPr="00CB5EB9" w:rsidRDefault="00434172" w:rsidP="0010309E">
            <w:pPr>
              <w:jc w:val="center"/>
              <w:rPr>
                <w:sz w:val="22"/>
                <w:szCs w:val="22"/>
              </w:rPr>
            </w:pPr>
          </w:p>
        </w:tc>
      </w:tr>
    </w:tbl>
    <w:p w14:paraId="2D25F94B" w14:textId="6969C952" w:rsidR="00434172" w:rsidRDefault="00434172" w:rsidP="00434172">
      <w:pPr>
        <w:pStyle w:val="Luettelokappale"/>
        <w:ind w:left="993"/>
        <w:jc w:val="both"/>
      </w:pPr>
      <w:r>
        <w:t xml:space="preserve"> “;</w:t>
      </w:r>
    </w:p>
    <w:p w14:paraId="5103EFEB" w14:textId="508CDB00" w:rsidR="00A44E13" w:rsidRDefault="00A44E13" w:rsidP="00A44E13">
      <w:pPr>
        <w:pStyle w:val="Luettelokappale"/>
        <w:numPr>
          <w:ilvl w:val="0"/>
          <w:numId w:val="12"/>
        </w:numPr>
        <w:ind w:left="993" w:hanging="709"/>
      </w:pPr>
      <w:r w:rsidRPr="00B922FE">
        <w:t xml:space="preserve">In </w:t>
      </w:r>
      <w:r>
        <w:t xml:space="preserve">template </w:t>
      </w:r>
      <w:r w:rsidRPr="00B922FE">
        <w:t>S.</w:t>
      </w:r>
      <w:r>
        <w:t>29.03 row R0300 is replaced by the following:</w:t>
      </w:r>
    </w:p>
    <w:p w14:paraId="2525F30E" w14:textId="0300CA38" w:rsidR="00A44E13" w:rsidRDefault="008566BB" w:rsidP="00A44E13">
      <w:pPr>
        <w:pStyle w:val="Luettelokappale"/>
        <w:ind w:left="993"/>
      </w:pPr>
      <w:r>
        <w:t>“</w:t>
      </w:r>
    </w:p>
    <w:tbl>
      <w:tblPr>
        <w:tblW w:w="8018" w:type="dxa"/>
        <w:tblInd w:w="534" w:type="dxa"/>
        <w:tblLook w:val="04A0" w:firstRow="1" w:lastRow="0" w:firstColumn="1" w:lastColumn="0" w:noHBand="0" w:noVBand="1"/>
      </w:tblPr>
      <w:tblGrid>
        <w:gridCol w:w="5098"/>
        <w:gridCol w:w="1460"/>
        <w:gridCol w:w="1460"/>
      </w:tblGrid>
      <w:tr w:rsidR="008566BB" w:rsidRPr="008566BB" w14:paraId="4DB49E33" w14:textId="77777777" w:rsidTr="008566BB">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34B3C" w14:textId="59A35E36" w:rsidR="00A44E13" w:rsidRPr="008566BB" w:rsidRDefault="00A44E13" w:rsidP="00A44E13">
            <w:pPr>
              <w:rPr>
                <w:sz w:val="22"/>
                <w:szCs w:val="22"/>
              </w:rPr>
            </w:pPr>
            <w:r w:rsidRPr="008566BB">
              <w:rPr>
                <w:lang w:val="en-US"/>
              </w:rPr>
              <w:t>Net variation for index-linked and unit-linked business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586A1BE1" w14:textId="21B53252" w:rsidR="00A44E13" w:rsidRPr="008566BB" w:rsidRDefault="008566BB" w:rsidP="008566BB">
            <w:pPr>
              <w:rPr>
                <w:sz w:val="22"/>
                <w:szCs w:val="22"/>
              </w:rPr>
            </w:pPr>
            <w:r w:rsidRPr="008566BB">
              <w:rPr>
                <w:sz w:val="22"/>
                <w:szCs w:val="22"/>
              </w:rPr>
              <w:t>R0300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79BC73D5" w14:textId="6B622E75" w:rsidR="00A44E13" w:rsidRPr="008566BB" w:rsidRDefault="00A44E13" w:rsidP="00A44E13">
            <w:pPr>
              <w:jc w:val="center"/>
              <w:rPr>
                <w:sz w:val="22"/>
                <w:szCs w:val="22"/>
              </w:rPr>
            </w:pPr>
          </w:p>
        </w:tc>
      </w:tr>
    </w:tbl>
    <w:p w14:paraId="78C00F50" w14:textId="620A35F9" w:rsidR="00A44E13" w:rsidRDefault="008566BB" w:rsidP="00434172">
      <w:pPr>
        <w:pStyle w:val="Luettelokappale"/>
        <w:ind w:left="993"/>
        <w:jc w:val="both"/>
      </w:pPr>
      <w:r>
        <w:t>“;</w:t>
      </w:r>
    </w:p>
    <w:p w14:paraId="4E5C6712" w14:textId="77777777" w:rsidR="00B979CB" w:rsidRDefault="00B979CB" w:rsidP="00F82AA3">
      <w:pPr>
        <w:pStyle w:val="Luettelokappale"/>
        <w:numPr>
          <w:ilvl w:val="0"/>
          <w:numId w:val="12"/>
        </w:numPr>
        <w:ind w:left="993" w:hanging="709"/>
      </w:pPr>
      <w:r w:rsidRPr="00B922FE">
        <w:t xml:space="preserve">In </w:t>
      </w:r>
      <w:r>
        <w:t xml:space="preserve">template </w:t>
      </w:r>
      <w:r w:rsidRPr="00B922FE">
        <w:t>S.</w:t>
      </w:r>
      <w:r>
        <w:t>29.04</w:t>
      </w:r>
      <w:r w:rsidRPr="00B922FE">
        <w:t>.0</w:t>
      </w:r>
      <w:r>
        <w:t>1</w:t>
      </w:r>
      <w:r w:rsidRPr="00B922FE">
        <w:t xml:space="preserve"> </w:t>
      </w:r>
      <w:r>
        <w:t>row</w:t>
      </w:r>
      <w:commentRangeStart w:id="10"/>
      <w:r>
        <w:t xml:space="preserve"> R0080 </w:t>
      </w:r>
      <w:commentRangeEnd w:id="10"/>
      <w:r w:rsidR="008566BB">
        <w:rPr>
          <w:rStyle w:val="Kommentinviite"/>
          <w:lang w:eastAsia="pt-PT"/>
        </w:rPr>
        <w:commentReference w:id="10"/>
      </w:r>
      <w:r>
        <w:t>is replaced by the following:</w:t>
      </w:r>
    </w:p>
    <w:p w14:paraId="49EAF4C1" w14:textId="0CD02C32" w:rsidR="00B979CB" w:rsidRDefault="00060CE5" w:rsidP="00B979CB">
      <w:pPr>
        <w:pStyle w:val="Luettelokappale"/>
        <w:ind w:left="993"/>
        <w:jc w:val="both"/>
      </w:pPr>
      <w:r>
        <w:t>“</w:t>
      </w:r>
    </w:p>
    <w:tbl>
      <w:tblPr>
        <w:tblW w:w="8061" w:type="dxa"/>
        <w:tblInd w:w="534" w:type="dxa"/>
        <w:tblLook w:val="04A0" w:firstRow="1" w:lastRow="0" w:firstColumn="1" w:lastColumn="0" w:noHBand="0" w:noVBand="1"/>
      </w:tblPr>
      <w:tblGrid>
        <w:gridCol w:w="3969"/>
        <w:gridCol w:w="1212"/>
        <w:gridCol w:w="960"/>
        <w:gridCol w:w="960"/>
        <w:gridCol w:w="960"/>
      </w:tblGrid>
      <w:tr w:rsidR="00B979CB" w:rsidRPr="00CB5EB9" w14:paraId="4A52BB50" w14:textId="77777777" w:rsidTr="00B57666">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C7A6F" w14:textId="77777777" w:rsidR="00B979CB" w:rsidRPr="00CB5EB9" w:rsidRDefault="00B979CB" w:rsidP="00060CE5">
            <w:pPr>
              <w:ind w:left="191" w:hanging="191"/>
              <w:rPr>
                <w:sz w:val="22"/>
                <w:szCs w:val="22"/>
              </w:rPr>
            </w:pPr>
            <w:r w:rsidRPr="00CB5EB9">
              <w:rPr>
                <w:sz w:val="22"/>
                <w:szCs w:val="22"/>
                <w:lang w:eastAsia="es-ES"/>
              </w:rPr>
              <w:t>Premiums earned/to be earned</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3AB1EADD" w14:textId="77777777" w:rsidR="00B979CB" w:rsidRPr="00CB5EB9" w:rsidRDefault="00B979CB" w:rsidP="00A76EDC">
            <w:pPr>
              <w:jc w:val="center"/>
              <w:rPr>
                <w:sz w:val="22"/>
                <w:szCs w:val="22"/>
              </w:rPr>
            </w:pPr>
            <w:r w:rsidRPr="00CB5EB9">
              <w:rPr>
                <w:color w:val="000000"/>
                <w:sz w:val="22"/>
                <w:szCs w:val="22"/>
              </w:rPr>
              <w:t>R0080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68BE166" w14:textId="77777777" w:rsidR="00B979CB" w:rsidRPr="00CB5EB9" w:rsidRDefault="00B979CB" w:rsidP="00A76EDC">
            <w:pPr>
              <w:jc w:val="center"/>
              <w:rPr>
                <w:sz w:val="22"/>
                <w:szCs w:val="22"/>
              </w:rPr>
            </w:pPr>
            <w:r w:rsidRPr="00CB5EB9">
              <w:rPr>
                <w:sz w:val="22"/>
                <w:szCs w:val="22"/>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F52D9F9" w14:textId="77777777" w:rsidR="00B979CB" w:rsidRPr="00CB5EB9" w:rsidRDefault="00B979CB" w:rsidP="00A76EDC">
            <w:pPr>
              <w:jc w:val="center"/>
              <w:rPr>
                <w:sz w:val="22"/>
                <w:szCs w:val="22"/>
              </w:rPr>
            </w:pPr>
            <w:r w:rsidRPr="00CB5EB9">
              <w:rPr>
                <w:sz w:val="22"/>
                <w:szCs w:val="22"/>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8811015" w14:textId="77777777" w:rsidR="00B979CB" w:rsidRPr="00CB5EB9" w:rsidRDefault="00B979CB" w:rsidP="00A76EDC">
            <w:pPr>
              <w:jc w:val="center"/>
              <w:rPr>
                <w:sz w:val="22"/>
                <w:szCs w:val="22"/>
              </w:rPr>
            </w:pPr>
            <w:r w:rsidRPr="00CB5EB9">
              <w:rPr>
                <w:sz w:val="22"/>
                <w:szCs w:val="22"/>
              </w:rPr>
              <w:t> </w:t>
            </w:r>
          </w:p>
        </w:tc>
      </w:tr>
    </w:tbl>
    <w:p w14:paraId="168FC582" w14:textId="5F8D0DA0" w:rsidR="00B979CB" w:rsidRDefault="00060CE5" w:rsidP="00B979CB">
      <w:pPr>
        <w:pStyle w:val="Luettelokappale"/>
        <w:ind w:left="993"/>
        <w:jc w:val="both"/>
      </w:pPr>
      <w:r>
        <w:t>“</w:t>
      </w:r>
      <w:r w:rsidR="00B979CB">
        <w:t>;</w:t>
      </w:r>
    </w:p>
    <w:p w14:paraId="154EE70F" w14:textId="77777777" w:rsidR="008566BB" w:rsidRDefault="008566BB" w:rsidP="00B979CB">
      <w:pPr>
        <w:pStyle w:val="Luettelokappale"/>
        <w:ind w:left="993"/>
        <w:jc w:val="both"/>
      </w:pPr>
    </w:p>
    <w:p w14:paraId="647DD944" w14:textId="77777777" w:rsidR="00B979CB" w:rsidRPr="00177D28" w:rsidRDefault="00B979CB" w:rsidP="00060CE5">
      <w:pPr>
        <w:pStyle w:val="Luettelokappale"/>
        <w:numPr>
          <w:ilvl w:val="0"/>
          <w:numId w:val="17"/>
        </w:numPr>
        <w:jc w:val="both"/>
      </w:pPr>
      <w:r w:rsidRPr="00060CE5">
        <w:t>Both Annex II and III to Implementing Regulation (EU) 2015/2450 are amended as follows:</w:t>
      </w:r>
    </w:p>
    <w:p w14:paraId="21C556FE" w14:textId="77777777" w:rsidR="0032511F" w:rsidRDefault="0032511F" w:rsidP="0032511F">
      <w:pPr>
        <w:pStyle w:val="Luettelokappale"/>
        <w:ind w:left="993"/>
        <w:jc w:val="both"/>
      </w:pPr>
    </w:p>
    <w:p w14:paraId="2941C478" w14:textId="1B446444" w:rsidR="00857A35" w:rsidRDefault="00857A35" w:rsidP="00883490">
      <w:pPr>
        <w:pStyle w:val="Luettelokappale"/>
        <w:numPr>
          <w:ilvl w:val="0"/>
          <w:numId w:val="29"/>
        </w:numPr>
      </w:pPr>
      <w:r>
        <w:t xml:space="preserve">In template </w:t>
      </w:r>
      <w:commentRangeStart w:id="11"/>
      <w:r>
        <w:t xml:space="preserve">S.01.02 </w:t>
      </w:r>
      <w:commentRangeEnd w:id="11"/>
      <w:r w:rsidR="0080120B" w:rsidRPr="00F82AA3">
        <w:commentReference w:id="11"/>
      </w:r>
      <w:r>
        <w:t>the following is added at the end:</w:t>
      </w:r>
    </w:p>
    <w:p w14:paraId="18972D28" w14:textId="77777777" w:rsidR="00857A35" w:rsidRDefault="00857A35" w:rsidP="00C74A41">
      <w:pPr>
        <w:pStyle w:val="Luettelokappale"/>
        <w:ind w:left="993"/>
      </w:pPr>
    </w:p>
    <w:tbl>
      <w:tblPr>
        <w:tblW w:w="9123" w:type="dxa"/>
        <w:tblInd w:w="637" w:type="dxa"/>
        <w:tblLayout w:type="fixed"/>
        <w:tblCellMar>
          <w:left w:w="70" w:type="dxa"/>
          <w:right w:w="70" w:type="dxa"/>
        </w:tblCellMar>
        <w:tblLook w:val="04A0" w:firstRow="1" w:lastRow="0" w:firstColumn="1" w:lastColumn="0" w:noHBand="0" w:noVBand="1"/>
      </w:tblPr>
      <w:tblGrid>
        <w:gridCol w:w="1418"/>
        <w:gridCol w:w="2585"/>
        <w:gridCol w:w="5120"/>
      </w:tblGrid>
      <w:tr w:rsidR="00857A35" w:rsidRPr="00177D28" w14:paraId="04B7271E" w14:textId="77777777" w:rsidTr="00C74A41">
        <w:trPr>
          <w:trHeight w:val="150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A112D1D" w14:textId="52ACDDC0" w:rsidR="00857A35" w:rsidRPr="00BC3082" w:rsidRDefault="00857A35" w:rsidP="00857A35">
            <w:pPr>
              <w:ind w:left="72"/>
              <w:rPr>
                <w:sz w:val="20"/>
                <w:szCs w:val="20"/>
                <w:lang w:eastAsia="es-ES"/>
              </w:rPr>
            </w:pPr>
            <w:r w:rsidRPr="00BC3082">
              <w:rPr>
                <w:sz w:val="20"/>
                <w:szCs w:val="20"/>
                <w:lang w:eastAsia="es-ES"/>
              </w:rPr>
              <w:t>R02</w:t>
            </w:r>
            <w:r>
              <w:rPr>
                <w:sz w:val="20"/>
                <w:szCs w:val="20"/>
                <w:lang w:eastAsia="es-ES"/>
              </w:rPr>
              <w:t>2</w:t>
            </w:r>
            <w:r w:rsidRPr="00BC3082">
              <w:rPr>
                <w:sz w:val="20"/>
                <w:szCs w:val="20"/>
                <w:lang w:eastAsia="es-ES"/>
              </w:rPr>
              <w:t>0</w:t>
            </w:r>
          </w:p>
        </w:tc>
        <w:tc>
          <w:tcPr>
            <w:tcW w:w="2585" w:type="dxa"/>
            <w:tcBorders>
              <w:top w:val="single" w:sz="4" w:space="0" w:color="auto"/>
              <w:left w:val="nil"/>
              <w:bottom w:val="single" w:sz="4" w:space="0" w:color="auto"/>
              <w:right w:val="single" w:sz="4" w:space="0" w:color="auto"/>
            </w:tcBorders>
            <w:shd w:val="clear" w:color="auto" w:fill="auto"/>
            <w:hideMark/>
          </w:tcPr>
          <w:p w14:paraId="7FFCB495" w14:textId="1A42850F" w:rsidR="00857A35" w:rsidRPr="0080120B" w:rsidRDefault="00857A35" w:rsidP="0080120B">
            <w:pPr>
              <w:rPr>
                <w:rFonts w:eastAsiaTheme="minorHAnsi"/>
                <w:sz w:val="20"/>
                <w:szCs w:val="20"/>
                <w:lang w:eastAsia="en-US"/>
              </w:rPr>
            </w:pPr>
            <w:r w:rsidRPr="0080120B">
              <w:rPr>
                <w:rFonts w:eastAsiaTheme="minorHAnsi"/>
                <w:sz w:val="20"/>
                <w:szCs w:val="20"/>
                <w:lang w:eastAsia="en-US"/>
              </w:rPr>
              <w:t>Exemption of reporting ECAI information</w:t>
            </w:r>
          </w:p>
        </w:tc>
        <w:tc>
          <w:tcPr>
            <w:tcW w:w="5120" w:type="dxa"/>
            <w:tcBorders>
              <w:top w:val="single" w:sz="4" w:space="0" w:color="auto"/>
              <w:left w:val="nil"/>
              <w:bottom w:val="single" w:sz="4" w:space="0" w:color="auto"/>
              <w:right w:val="single" w:sz="4" w:space="0" w:color="auto"/>
            </w:tcBorders>
            <w:shd w:val="clear" w:color="auto" w:fill="auto"/>
            <w:hideMark/>
          </w:tcPr>
          <w:p w14:paraId="16EB372E" w14:textId="760412F4" w:rsidR="00857A35" w:rsidRDefault="0080120B" w:rsidP="0080120B">
            <w:pPr>
              <w:rPr>
                <w:rFonts w:eastAsiaTheme="minorHAnsi"/>
                <w:sz w:val="20"/>
                <w:szCs w:val="20"/>
                <w:lang w:eastAsia="en-US"/>
              </w:rPr>
            </w:pPr>
            <w:r w:rsidRPr="0080120B">
              <w:rPr>
                <w:rFonts w:eastAsiaTheme="minorHAnsi"/>
                <w:sz w:val="20"/>
                <w:szCs w:val="20"/>
                <w:lang w:eastAsia="en-US"/>
              </w:rPr>
              <w:t>One of the options in the following closed list shall be used:</w:t>
            </w:r>
          </w:p>
          <w:p w14:paraId="2FDE1623" w14:textId="77777777" w:rsidR="0080120B" w:rsidRPr="0080120B" w:rsidRDefault="0080120B" w:rsidP="0080120B">
            <w:pPr>
              <w:rPr>
                <w:rFonts w:eastAsiaTheme="minorHAnsi"/>
                <w:sz w:val="20"/>
                <w:szCs w:val="20"/>
                <w:lang w:eastAsia="en-US"/>
              </w:rPr>
            </w:pPr>
          </w:p>
          <w:p w14:paraId="701A8ECC" w14:textId="3EF126C0" w:rsidR="0080120B" w:rsidRPr="00DF07B0" w:rsidRDefault="0080120B" w:rsidP="0080120B">
            <w:pPr>
              <w:spacing w:line="276" w:lineRule="auto"/>
              <w:rPr>
                <w:sz w:val="20"/>
                <w:szCs w:val="20"/>
              </w:rPr>
            </w:pPr>
            <w:r w:rsidRPr="00DF07B0">
              <w:rPr>
                <w:sz w:val="20"/>
                <w:szCs w:val="20"/>
              </w:rPr>
              <w:t xml:space="preserve">1 – </w:t>
            </w:r>
            <w:r w:rsidRPr="0080120B">
              <w:rPr>
                <w:rFonts w:eastAsiaTheme="minorHAnsi"/>
                <w:sz w:val="20"/>
                <w:szCs w:val="20"/>
                <w:lang w:eastAsia="en-US"/>
              </w:rPr>
              <w:t>Exempted for assets</w:t>
            </w:r>
            <w:r w:rsidRPr="00DF07B0">
              <w:rPr>
                <w:sz w:val="20"/>
                <w:szCs w:val="20"/>
              </w:rPr>
              <w:t xml:space="preserve"> </w:t>
            </w:r>
            <w:r w:rsidR="00627FAB">
              <w:rPr>
                <w:sz w:val="20"/>
                <w:szCs w:val="20"/>
              </w:rPr>
              <w:t>(based on article 35(6) and (7))</w:t>
            </w:r>
            <w:r w:rsidRPr="00DF07B0">
              <w:rPr>
                <w:sz w:val="20"/>
                <w:szCs w:val="20"/>
              </w:rPr>
              <w:br/>
            </w:r>
            <w:r w:rsidR="00627FAB">
              <w:rPr>
                <w:sz w:val="20"/>
                <w:szCs w:val="20"/>
              </w:rPr>
              <w:t>2</w:t>
            </w:r>
            <w:r w:rsidR="00627FAB" w:rsidRPr="00DF07B0">
              <w:rPr>
                <w:sz w:val="20"/>
                <w:szCs w:val="20"/>
              </w:rPr>
              <w:t xml:space="preserve"> – </w:t>
            </w:r>
            <w:r w:rsidR="00627FAB" w:rsidRPr="0080120B">
              <w:rPr>
                <w:rFonts w:eastAsiaTheme="minorHAnsi"/>
                <w:sz w:val="20"/>
                <w:szCs w:val="20"/>
                <w:lang w:eastAsia="en-US"/>
              </w:rPr>
              <w:t>Exempted for assets</w:t>
            </w:r>
            <w:r w:rsidR="00627FAB" w:rsidRPr="00DF07B0">
              <w:rPr>
                <w:sz w:val="20"/>
                <w:szCs w:val="20"/>
              </w:rPr>
              <w:t xml:space="preserve"> </w:t>
            </w:r>
            <w:r w:rsidR="00627FAB">
              <w:rPr>
                <w:sz w:val="20"/>
                <w:szCs w:val="20"/>
              </w:rPr>
              <w:t>(based on outsourcing)</w:t>
            </w:r>
            <w:r w:rsidR="00627FAB" w:rsidRPr="00DF07B0">
              <w:rPr>
                <w:sz w:val="20"/>
                <w:szCs w:val="20"/>
              </w:rPr>
              <w:br/>
            </w:r>
            <w:r w:rsidR="00627FAB">
              <w:rPr>
                <w:sz w:val="20"/>
                <w:szCs w:val="20"/>
              </w:rPr>
              <w:t>3</w:t>
            </w:r>
            <w:r w:rsidRPr="00DF07B0">
              <w:rPr>
                <w:sz w:val="20"/>
                <w:szCs w:val="20"/>
              </w:rPr>
              <w:t xml:space="preserve"> – </w:t>
            </w:r>
            <w:r w:rsidRPr="0080120B">
              <w:rPr>
                <w:rFonts w:eastAsiaTheme="minorHAnsi"/>
                <w:sz w:val="20"/>
                <w:szCs w:val="20"/>
                <w:lang w:eastAsia="en-US"/>
              </w:rPr>
              <w:t>Ex</w:t>
            </w:r>
            <w:r>
              <w:rPr>
                <w:rFonts w:eastAsiaTheme="minorHAnsi"/>
                <w:sz w:val="20"/>
                <w:szCs w:val="20"/>
                <w:lang w:eastAsia="en-US"/>
              </w:rPr>
              <w:t>empted for</w:t>
            </w:r>
            <w:r w:rsidRPr="0080120B">
              <w:rPr>
                <w:rFonts w:eastAsiaTheme="minorHAnsi"/>
                <w:sz w:val="20"/>
                <w:szCs w:val="20"/>
                <w:lang w:eastAsia="en-US"/>
              </w:rPr>
              <w:t xml:space="preserve"> derivatives </w:t>
            </w:r>
            <w:r w:rsidR="00627FAB">
              <w:rPr>
                <w:sz w:val="20"/>
                <w:szCs w:val="20"/>
              </w:rPr>
              <w:t>(based on article 35(6) and (7))</w:t>
            </w:r>
          </w:p>
          <w:p w14:paraId="4ADC1B03" w14:textId="7EF10937" w:rsidR="00627FAB" w:rsidRPr="00DF07B0" w:rsidRDefault="00627FAB" w:rsidP="00627FAB">
            <w:pPr>
              <w:spacing w:line="276" w:lineRule="auto"/>
              <w:rPr>
                <w:sz w:val="20"/>
                <w:szCs w:val="20"/>
              </w:rPr>
            </w:pPr>
            <w:r>
              <w:rPr>
                <w:sz w:val="20"/>
                <w:szCs w:val="20"/>
              </w:rPr>
              <w:t>4</w:t>
            </w:r>
            <w:r w:rsidRPr="00DF07B0">
              <w:rPr>
                <w:sz w:val="20"/>
                <w:szCs w:val="20"/>
              </w:rPr>
              <w:t xml:space="preserve"> – </w:t>
            </w:r>
            <w:r w:rsidRPr="0080120B">
              <w:rPr>
                <w:rFonts w:eastAsiaTheme="minorHAnsi"/>
                <w:sz w:val="20"/>
                <w:szCs w:val="20"/>
                <w:lang w:eastAsia="en-US"/>
              </w:rPr>
              <w:t>Ex</w:t>
            </w:r>
            <w:r>
              <w:rPr>
                <w:rFonts w:eastAsiaTheme="minorHAnsi"/>
                <w:sz w:val="20"/>
                <w:szCs w:val="20"/>
                <w:lang w:eastAsia="en-US"/>
              </w:rPr>
              <w:t>empted for</w:t>
            </w:r>
            <w:r w:rsidRPr="0080120B">
              <w:rPr>
                <w:rFonts w:eastAsiaTheme="minorHAnsi"/>
                <w:sz w:val="20"/>
                <w:szCs w:val="20"/>
                <w:lang w:eastAsia="en-US"/>
              </w:rPr>
              <w:t xml:space="preserve"> derivatives </w:t>
            </w:r>
            <w:r>
              <w:rPr>
                <w:sz w:val="20"/>
                <w:szCs w:val="20"/>
              </w:rPr>
              <w:t>(based on outsourcing)</w:t>
            </w:r>
          </w:p>
          <w:p w14:paraId="45E50C70" w14:textId="4468735C" w:rsidR="0080120B" w:rsidRDefault="00627FAB" w:rsidP="0080120B">
            <w:pPr>
              <w:spacing w:line="276" w:lineRule="auto"/>
              <w:rPr>
                <w:sz w:val="20"/>
                <w:szCs w:val="20"/>
              </w:rPr>
            </w:pPr>
            <w:r>
              <w:rPr>
                <w:sz w:val="20"/>
                <w:szCs w:val="20"/>
              </w:rPr>
              <w:t>5</w:t>
            </w:r>
            <w:r w:rsidR="0080120B" w:rsidRPr="00DF07B0">
              <w:rPr>
                <w:sz w:val="20"/>
                <w:szCs w:val="20"/>
              </w:rPr>
              <w:t xml:space="preserve"> – </w:t>
            </w:r>
            <w:r w:rsidR="0080120B" w:rsidRPr="0080120B">
              <w:rPr>
                <w:rFonts w:eastAsiaTheme="minorHAnsi"/>
                <w:sz w:val="20"/>
                <w:szCs w:val="20"/>
                <w:lang w:eastAsia="en-US"/>
              </w:rPr>
              <w:t>Ex</w:t>
            </w:r>
            <w:r w:rsidR="0080120B">
              <w:rPr>
                <w:rFonts w:eastAsiaTheme="minorHAnsi"/>
                <w:sz w:val="20"/>
                <w:szCs w:val="20"/>
                <w:lang w:eastAsia="en-US"/>
              </w:rPr>
              <w:t>empted</w:t>
            </w:r>
            <w:r w:rsidR="0080120B" w:rsidRPr="0080120B">
              <w:rPr>
                <w:rFonts w:eastAsiaTheme="minorHAnsi"/>
                <w:sz w:val="20"/>
                <w:szCs w:val="20"/>
                <w:lang w:eastAsia="en-US"/>
              </w:rPr>
              <w:t xml:space="preserve"> for assets and derivative</w:t>
            </w:r>
            <w:r w:rsidR="0080120B">
              <w:rPr>
                <w:sz w:val="20"/>
                <w:szCs w:val="20"/>
              </w:rPr>
              <w:t>s</w:t>
            </w:r>
            <w:r>
              <w:rPr>
                <w:sz w:val="20"/>
                <w:szCs w:val="20"/>
              </w:rPr>
              <w:t xml:space="preserve"> (based on article 35(6) and (7))</w:t>
            </w:r>
          </w:p>
          <w:p w14:paraId="79950485" w14:textId="381218CE" w:rsidR="00627FAB" w:rsidRPr="00DF07B0" w:rsidRDefault="00627FAB" w:rsidP="00627FAB">
            <w:pPr>
              <w:spacing w:line="276" w:lineRule="auto"/>
              <w:rPr>
                <w:sz w:val="20"/>
                <w:szCs w:val="20"/>
              </w:rPr>
            </w:pPr>
            <w:r>
              <w:rPr>
                <w:sz w:val="20"/>
                <w:szCs w:val="20"/>
              </w:rPr>
              <w:t>6</w:t>
            </w:r>
            <w:r w:rsidRPr="00DF07B0">
              <w:rPr>
                <w:sz w:val="20"/>
                <w:szCs w:val="20"/>
              </w:rPr>
              <w:t xml:space="preserve"> – </w:t>
            </w:r>
            <w:r w:rsidRPr="0080120B">
              <w:rPr>
                <w:rFonts w:eastAsiaTheme="minorHAnsi"/>
                <w:sz w:val="20"/>
                <w:szCs w:val="20"/>
                <w:lang w:eastAsia="en-US"/>
              </w:rPr>
              <w:t>Ex</w:t>
            </w:r>
            <w:r>
              <w:rPr>
                <w:rFonts w:eastAsiaTheme="minorHAnsi"/>
                <w:sz w:val="20"/>
                <w:szCs w:val="20"/>
                <w:lang w:eastAsia="en-US"/>
              </w:rPr>
              <w:t>empted</w:t>
            </w:r>
            <w:r w:rsidRPr="0080120B">
              <w:rPr>
                <w:rFonts w:eastAsiaTheme="minorHAnsi"/>
                <w:sz w:val="20"/>
                <w:szCs w:val="20"/>
                <w:lang w:eastAsia="en-US"/>
              </w:rPr>
              <w:t xml:space="preserve"> for assets and derivative</w:t>
            </w:r>
            <w:r>
              <w:rPr>
                <w:sz w:val="20"/>
                <w:szCs w:val="20"/>
              </w:rPr>
              <w:t>s (based on outsourcing)</w:t>
            </w:r>
          </w:p>
          <w:p w14:paraId="075C8DC3" w14:textId="3C2CC0FB" w:rsidR="00857A35" w:rsidRPr="0080120B" w:rsidRDefault="0080120B" w:rsidP="0080120B">
            <w:pPr>
              <w:spacing w:line="276" w:lineRule="auto"/>
            </w:pPr>
            <w:r>
              <w:rPr>
                <w:sz w:val="20"/>
                <w:szCs w:val="20"/>
              </w:rPr>
              <w:t>0</w:t>
            </w:r>
            <w:r w:rsidRPr="00DF07B0">
              <w:rPr>
                <w:sz w:val="20"/>
                <w:szCs w:val="20"/>
              </w:rPr>
              <w:t xml:space="preserve"> – </w:t>
            </w:r>
            <w:r w:rsidRPr="0080120B">
              <w:rPr>
                <w:rFonts w:eastAsiaTheme="minorHAnsi"/>
                <w:sz w:val="20"/>
                <w:szCs w:val="20"/>
                <w:lang w:eastAsia="en-US"/>
              </w:rPr>
              <w:t>N</w:t>
            </w:r>
            <w:r>
              <w:rPr>
                <w:rFonts w:eastAsiaTheme="minorHAnsi"/>
                <w:sz w:val="20"/>
                <w:szCs w:val="20"/>
                <w:lang w:eastAsia="en-US"/>
              </w:rPr>
              <w:t>ot exempted</w:t>
            </w:r>
          </w:p>
        </w:tc>
      </w:tr>
    </w:tbl>
    <w:p w14:paraId="38C3772E" w14:textId="77777777" w:rsidR="00695530" w:rsidRDefault="00695530" w:rsidP="00695530">
      <w:pPr>
        <w:pStyle w:val="Luettelokappale"/>
        <w:ind w:left="993"/>
      </w:pPr>
    </w:p>
    <w:p w14:paraId="1C8597EB" w14:textId="0AEBC814" w:rsidR="005E00F5" w:rsidRPr="004C66E0" w:rsidRDefault="005E00F5" w:rsidP="00883490">
      <w:pPr>
        <w:pStyle w:val="Luettelokappale"/>
        <w:numPr>
          <w:ilvl w:val="0"/>
          <w:numId w:val="29"/>
        </w:numPr>
        <w:ind w:left="993" w:hanging="709"/>
      </w:pPr>
      <w:commentRangeStart w:id="12"/>
      <w:r w:rsidRPr="008C737E">
        <w:t>In</w:t>
      </w:r>
      <w:r>
        <w:t xml:space="preserve"> template S.07</w:t>
      </w:r>
      <w:r w:rsidRPr="008C737E">
        <w:t>.</w:t>
      </w:r>
      <w:r>
        <w:t>01 at the end of the instructions for column C0100 the following option is added:</w:t>
      </w:r>
      <w:commentRangeEnd w:id="12"/>
      <w:r>
        <w:rPr>
          <w:rStyle w:val="Kommentinviite"/>
          <w:lang w:eastAsia="pt-PT"/>
        </w:rPr>
        <w:commentReference w:id="12"/>
      </w:r>
    </w:p>
    <w:p w14:paraId="62EDC0C2" w14:textId="39D7F725" w:rsidR="005E00F5" w:rsidRDefault="005E00F5" w:rsidP="005E00F5">
      <w:pPr>
        <w:pStyle w:val="Luettelokappale"/>
        <w:ind w:left="993"/>
      </w:pPr>
      <w:r w:rsidRPr="004C66E0">
        <w:t>“</w:t>
      </w:r>
      <w:r w:rsidRPr="005E00F5">
        <w:t>6 - not applicable</w:t>
      </w:r>
      <w:r>
        <w:t>”;</w:t>
      </w:r>
    </w:p>
    <w:p w14:paraId="31DD8BFD" w14:textId="77777777" w:rsidR="00883490" w:rsidRDefault="00883490" w:rsidP="005E00F5">
      <w:pPr>
        <w:pStyle w:val="Luettelokappale"/>
        <w:ind w:left="993"/>
      </w:pPr>
    </w:p>
    <w:p w14:paraId="1F7EA828" w14:textId="62D63BEF" w:rsidR="00842B38" w:rsidRPr="0056399E" w:rsidRDefault="00842B38" w:rsidP="00883490">
      <w:pPr>
        <w:pStyle w:val="Luettelokappale"/>
        <w:numPr>
          <w:ilvl w:val="0"/>
          <w:numId w:val="29"/>
        </w:numPr>
        <w:ind w:left="993" w:hanging="709"/>
      </w:pPr>
      <w:r w:rsidRPr="0056399E">
        <w:t>In template S.08.01 the instructions for column C0090 are replaced by the following:</w:t>
      </w:r>
    </w:p>
    <w:p w14:paraId="5905BB48" w14:textId="77777777" w:rsidR="00842B38" w:rsidRDefault="00842B38" w:rsidP="00842B38">
      <w:pPr>
        <w:pStyle w:val="Luettelokappale"/>
        <w:ind w:left="993"/>
      </w:pPr>
    </w:p>
    <w:p w14:paraId="70571E5A" w14:textId="77777777" w:rsidR="00842B38" w:rsidRPr="00B57666" w:rsidRDefault="00842B38" w:rsidP="00842B38">
      <w:pPr>
        <w:pStyle w:val="Luettelokappale"/>
        <w:ind w:left="993"/>
        <w:jc w:val="both"/>
      </w:pPr>
      <w:r w:rsidRPr="004C66E0">
        <w:t>“</w:t>
      </w:r>
      <w:r w:rsidRPr="00842B38">
        <w:t xml:space="preserve">ID Code of the instrument (asset or liability) underlying the derivative contract. This item is to be provided only for derivatives that have a single or multiple underlying instruments in the undertakings’ portfolio. An index is considered a single instrument and </w:t>
      </w:r>
      <w:r w:rsidRPr="00B57666">
        <w:t xml:space="preserve">shall be reported. </w:t>
      </w:r>
    </w:p>
    <w:p w14:paraId="59344F1E" w14:textId="4127D764" w:rsidR="00842B38" w:rsidRPr="00B57666" w:rsidRDefault="00842B38" w:rsidP="00CB5EB9">
      <w:pPr>
        <w:pStyle w:val="Luettelokappale"/>
        <w:ind w:left="993"/>
      </w:pPr>
      <w:r w:rsidRPr="00B57666">
        <w:t>Identification code of the instrument underlying the derivative usin</w:t>
      </w:r>
      <w:r w:rsidR="00CB5EB9" w:rsidRPr="00B57666">
        <w:t xml:space="preserve">g the following priority:  </w:t>
      </w:r>
      <w:r w:rsidR="00CB5EB9" w:rsidRPr="00B57666">
        <w:br/>
        <w:t xml:space="preserve">  – </w:t>
      </w:r>
      <w:r w:rsidRPr="00B57666">
        <w:t>ISO 6166 code of ISIN when available</w:t>
      </w:r>
      <w:r w:rsidRPr="00B57666">
        <w:br/>
        <w:t xml:space="preserve">  –</w:t>
      </w:r>
      <w:r w:rsidR="00CB5EB9" w:rsidRPr="00B57666">
        <w:t xml:space="preserve"> </w:t>
      </w:r>
      <w:r w:rsidRPr="00B57666">
        <w:t>Other recognised codes (e.g.: CUSIP, Bloomberg Ticker, Reuters RIC)</w:t>
      </w:r>
      <w:r w:rsidRPr="00B57666">
        <w:br/>
        <w:t xml:space="preserve">  –</w:t>
      </w:r>
      <w:r w:rsidR="00CB5EB9" w:rsidRPr="00B57666">
        <w:t xml:space="preserve"> </w:t>
      </w:r>
      <w:r w:rsidRPr="00B57666">
        <w:t>Code attributed by the undertaking for the underling instrument when the options above are not available</w:t>
      </w:r>
      <w:r w:rsidR="00CF6A94" w:rsidRPr="00B57666">
        <w:t xml:space="preserve"> </w:t>
      </w:r>
      <w:r w:rsidRPr="00B57666">
        <w:t>and must be unique and consistent over time for th</w:t>
      </w:r>
      <w:r w:rsidR="00212FAC" w:rsidRPr="00B57666">
        <w:t>at</w:t>
      </w:r>
      <w:r w:rsidRPr="00B57666">
        <w:t xml:space="preserve"> instrument</w:t>
      </w:r>
      <w:r w:rsidR="00212FAC" w:rsidRPr="00B57666">
        <w:t>;</w:t>
      </w:r>
    </w:p>
    <w:p w14:paraId="46CC0572" w14:textId="44BB4B4C" w:rsidR="00842B38" w:rsidRPr="00B57666" w:rsidRDefault="00842B38" w:rsidP="00842B38">
      <w:pPr>
        <w:pStyle w:val="Luettelokappale"/>
        <w:ind w:left="993"/>
        <w:jc w:val="both"/>
      </w:pPr>
      <w:r w:rsidRPr="00B57666">
        <w:t xml:space="preserve">  – </w:t>
      </w:r>
      <w:r w:rsidR="00CF6A94" w:rsidRPr="00B57666">
        <w:rPr>
          <w:rStyle w:val="Kommentinviite"/>
          <w:lang w:eastAsia="pt-PT"/>
        </w:rPr>
        <w:commentReference w:id="13"/>
      </w:r>
      <w:r w:rsidRPr="00B57666">
        <w:t>Multiple assets/liabilities, if the underlying assets or liabilities are more than one</w:t>
      </w:r>
      <w:r w:rsidR="00212FAC" w:rsidRPr="00B57666">
        <w:t xml:space="preserve"> (this should be considered as a code attributed by the undertaking).</w:t>
      </w:r>
    </w:p>
    <w:p w14:paraId="1C6C9996" w14:textId="77777777" w:rsidR="00212FAC" w:rsidRPr="00B57666" w:rsidRDefault="00212FAC" w:rsidP="00842B38">
      <w:pPr>
        <w:pStyle w:val="Luettelokappale"/>
        <w:ind w:left="993"/>
        <w:jc w:val="both"/>
      </w:pPr>
    </w:p>
    <w:p w14:paraId="4BEE8E33" w14:textId="1D9D485B" w:rsidR="00842B38" w:rsidRPr="00B57666" w:rsidRDefault="00842B38" w:rsidP="00842B38">
      <w:pPr>
        <w:pStyle w:val="Luettelokappale"/>
        <w:ind w:left="993"/>
        <w:jc w:val="both"/>
      </w:pPr>
      <w:r w:rsidRPr="00B57666">
        <w:t>If the underlying instrument is an index then the code of the index shall be reported</w:t>
      </w:r>
      <w:r w:rsidR="00212FAC" w:rsidRPr="00B57666">
        <w:t xml:space="preserve"> (following the priorities above)”</w:t>
      </w:r>
      <w:r w:rsidRPr="00B57666">
        <w:t>;</w:t>
      </w:r>
    </w:p>
    <w:p w14:paraId="19D21A97" w14:textId="77777777" w:rsidR="00842B38" w:rsidRDefault="00842B38" w:rsidP="00842B38">
      <w:pPr>
        <w:pStyle w:val="Luettelokappale"/>
        <w:ind w:left="993"/>
      </w:pPr>
    </w:p>
    <w:p w14:paraId="1BE1F187" w14:textId="69E566E0" w:rsidR="00A31EE8" w:rsidRDefault="00A31EE8" w:rsidP="00883490">
      <w:pPr>
        <w:pStyle w:val="Luettelokappale"/>
        <w:numPr>
          <w:ilvl w:val="0"/>
          <w:numId w:val="29"/>
        </w:numPr>
        <w:ind w:left="993" w:hanging="709"/>
      </w:pPr>
      <w:commentRangeStart w:id="14"/>
      <w:r w:rsidRPr="00580BC3">
        <w:t xml:space="preserve">In </w:t>
      </w:r>
      <w:r>
        <w:t>template S.11.01 in the six paragraph of the general comments the following sentence is added at the end:</w:t>
      </w:r>
      <w:r w:rsidRPr="00580BC3">
        <w:t xml:space="preserve"> </w:t>
      </w:r>
      <w:commentRangeEnd w:id="14"/>
      <w:r w:rsidR="0079025A">
        <w:rPr>
          <w:rStyle w:val="Kommentinviite"/>
          <w:lang w:eastAsia="pt-PT"/>
        </w:rPr>
        <w:commentReference w:id="14"/>
      </w:r>
    </w:p>
    <w:p w14:paraId="45FB8C3A" w14:textId="031BEB48" w:rsidR="00A31EE8" w:rsidRDefault="00A31EE8" w:rsidP="00A31EE8">
      <w:pPr>
        <w:pStyle w:val="Luettelokappale"/>
        <w:ind w:left="993"/>
        <w:jc w:val="both"/>
      </w:pPr>
      <w:r>
        <w:t>“</w:t>
      </w:r>
      <w:r w:rsidR="00E64CF5" w:rsidRPr="00E64CF5">
        <w:t>Real estate held as collateral of the mortgages related to individuals shall be reported in one single line</w:t>
      </w:r>
      <w:r>
        <w:t>.</w:t>
      </w:r>
      <w:r w:rsidR="00CB5EB9">
        <w:t>”;</w:t>
      </w:r>
    </w:p>
    <w:p w14:paraId="04CC307A" w14:textId="77777777" w:rsidR="005C0ADA" w:rsidRDefault="005C0ADA" w:rsidP="00A31EE8">
      <w:pPr>
        <w:pStyle w:val="Luettelokappale"/>
        <w:ind w:left="993"/>
        <w:jc w:val="both"/>
      </w:pPr>
    </w:p>
    <w:p w14:paraId="2474F7C5" w14:textId="765841F0" w:rsidR="005C0ADA" w:rsidRPr="0079025A" w:rsidRDefault="005C0ADA" w:rsidP="00883490">
      <w:pPr>
        <w:pStyle w:val="Luettelokappale"/>
        <w:numPr>
          <w:ilvl w:val="0"/>
          <w:numId w:val="29"/>
        </w:numPr>
        <w:ind w:left="993" w:hanging="709"/>
      </w:pPr>
      <w:commentRangeStart w:id="15"/>
      <w:r w:rsidRPr="0079025A">
        <w:t xml:space="preserve">In template S.11.01 in column C0080 the third paragraph of the instructions is replaced with the following: </w:t>
      </w:r>
      <w:commentRangeEnd w:id="15"/>
      <w:r w:rsidR="0079025A">
        <w:rPr>
          <w:rStyle w:val="Kommentinviite"/>
          <w:lang w:eastAsia="pt-PT"/>
        </w:rPr>
        <w:commentReference w:id="15"/>
      </w:r>
    </w:p>
    <w:p w14:paraId="36520D12" w14:textId="6A0FD644" w:rsidR="005C0ADA" w:rsidRDefault="005C0ADA" w:rsidP="00AA6B2D">
      <w:pPr>
        <w:pStyle w:val="Luettelokappale"/>
        <w:ind w:left="993"/>
        <w:jc w:val="both"/>
      </w:pPr>
      <w:r>
        <w:t xml:space="preserve">“This item is not applicable for </w:t>
      </w:r>
      <w:r w:rsidR="00632EF0">
        <w:t>collateral</w:t>
      </w:r>
      <w:r>
        <w:t xml:space="preserve"> </w:t>
      </w:r>
      <w:r w:rsidR="00632EF0">
        <w:t>with</w:t>
      </w:r>
      <w:r>
        <w:t xml:space="preserve"> CIC category 8 – Mortgages and Loans, CIC 71, CIC 75 and for CIC 95 – Plant and equipment.</w:t>
      </w:r>
      <w:r w:rsidRPr="004516D7">
        <w:t>”;</w:t>
      </w:r>
    </w:p>
    <w:p w14:paraId="10A0C6B4" w14:textId="798A21E2" w:rsidR="0009505E" w:rsidRDefault="00020237" w:rsidP="00AA6B2D">
      <w:pPr>
        <w:pStyle w:val="Luettelokappale"/>
        <w:ind w:left="993"/>
      </w:pPr>
      <w:r>
        <w:tab/>
      </w:r>
    </w:p>
    <w:p w14:paraId="32C1D659" w14:textId="5EEE2181" w:rsidR="00535284" w:rsidRDefault="00535284" w:rsidP="00883490">
      <w:pPr>
        <w:pStyle w:val="Luettelokappale"/>
        <w:numPr>
          <w:ilvl w:val="0"/>
          <w:numId w:val="29"/>
        </w:numPr>
        <w:ind w:left="993" w:hanging="709"/>
      </w:pPr>
      <w:r w:rsidRPr="00B64B4A">
        <w:t>In template S.</w:t>
      </w:r>
      <w:r>
        <w:t>15</w:t>
      </w:r>
      <w:r w:rsidRPr="00B64B4A">
        <w:t>.0</w:t>
      </w:r>
      <w:r>
        <w:t>1</w:t>
      </w:r>
      <w:r w:rsidR="00BB5A1A">
        <w:t xml:space="preserve"> </w:t>
      </w:r>
      <w:r>
        <w:t>the instructions for the column C01</w:t>
      </w:r>
      <w:r w:rsidR="003105F7">
        <w:t>0</w:t>
      </w:r>
      <w:r>
        <w:t>0 are replaced by the following</w:t>
      </w:r>
      <w:r w:rsidRPr="00B64B4A">
        <w:t xml:space="preserve">: </w:t>
      </w:r>
    </w:p>
    <w:p w14:paraId="205B160D" w14:textId="5F335E7A" w:rsidR="005C53BF" w:rsidRPr="005C53BF" w:rsidRDefault="005C53BF" w:rsidP="00AA6B2D">
      <w:pPr>
        <w:pStyle w:val="Luettelokappale"/>
        <w:ind w:left="993"/>
      </w:pPr>
      <w:r>
        <w:t>“</w:t>
      </w:r>
      <w:r w:rsidRPr="005C53BF">
        <w:t xml:space="preserve">Indicate the level of the guaranteed </w:t>
      </w:r>
      <w:commentRangeStart w:id="16"/>
      <w:r w:rsidRPr="005C53BF">
        <w:t>benefit</w:t>
      </w:r>
      <w:commentRangeEnd w:id="16"/>
      <w:r w:rsidR="003105F7">
        <w:rPr>
          <w:rStyle w:val="Kommentinviite"/>
          <w:lang w:eastAsia="pt-PT"/>
        </w:rPr>
        <w:commentReference w:id="16"/>
      </w:r>
      <w:r w:rsidRPr="005C53BF">
        <w:t>.”;</w:t>
      </w:r>
    </w:p>
    <w:p w14:paraId="589A4473" w14:textId="77777777" w:rsidR="001C051D" w:rsidRDefault="001C051D" w:rsidP="00535284">
      <w:pPr>
        <w:pStyle w:val="Luettelokappale"/>
        <w:ind w:left="993"/>
      </w:pPr>
    </w:p>
    <w:p w14:paraId="145AF811" w14:textId="0EE23C9F" w:rsidR="00EE7257" w:rsidRDefault="00EE7257" w:rsidP="00883490">
      <w:pPr>
        <w:pStyle w:val="Luettelokappale"/>
        <w:numPr>
          <w:ilvl w:val="0"/>
          <w:numId w:val="29"/>
        </w:numPr>
        <w:ind w:left="993" w:hanging="709"/>
      </w:pPr>
      <w:r w:rsidRPr="00580BC3">
        <w:t xml:space="preserve">In </w:t>
      </w:r>
      <w:r>
        <w:t>template S.23.04 the instructions for column</w:t>
      </w:r>
      <w:r w:rsidRPr="00181DFD">
        <w:t xml:space="preserve"> C0</w:t>
      </w:r>
      <w:r>
        <w:t>370 are replaced by:</w:t>
      </w:r>
      <w:r w:rsidRPr="00580BC3">
        <w:t xml:space="preserve"> </w:t>
      </w:r>
    </w:p>
    <w:p w14:paraId="00EB70AF" w14:textId="1DC2EDCE" w:rsidR="00EE7257" w:rsidRDefault="00EE7257" w:rsidP="00EE7257">
      <w:pPr>
        <w:pStyle w:val="Luettelokappale"/>
        <w:ind w:left="993"/>
      </w:pPr>
      <w:r>
        <w:t>“</w:t>
      </w:r>
      <w:r w:rsidR="00A27DEB" w:rsidRPr="00A27DEB">
        <w:t xml:space="preserve">This is the </w:t>
      </w:r>
      <w:r w:rsidR="00A27DEB" w:rsidRPr="00B57666">
        <w:t xml:space="preserve">first future </w:t>
      </w:r>
      <w:r w:rsidR="00A27DEB" w:rsidRPr="00A27DEB">
        <w:t>call date of the subordinated liabilities. This shall be in ISO 8601 format (yyyy–mm–</w:t>
      </w:r>
      <w:commentRangeStart w:id="17"/>
      <w:r w:rsidR="00A27DEB" w:rsidRPr="00A27DEB">
        <w:t>dd</w:t>
      </w:r>
      <w:commentRangeEnd w:id="17"/>
      <w:r w:rsidR="0075219D">
        <w:rPr>
          <w:rStyle w:val="Kommentinviite"/>
          <w:lang w:eastAsia="pt-PT"/>
        </w:rPr>
        <w:commentReference w:id="17"/>
      </w:r>
      <w:r w:rsidR="00A27DEB" w:rsidRPr="00A27DEB">
        <w:t>).</w:t>
      </w:r>
      <w:r w:rsidRPr="004516D7">
        <w:t>”;</w:t>
      </w:r>
    </w:p>
    <w:p w14:paraId="634E8825" w14:textId="77777777" w:rsidR="00EE7257" w:rsidRDefault="00EE7257" w:rsidP="00EE7257">
      <w:pPr>
        <w:pStyle w:val="Luettelokappale"/>
        <w:ind w:left="993"/>
      </w:pPr>
    </w:p>
    <w:p w14:paraId="7FF364B2" w14:textId="72DCC2B4" w:rsidR="00846084" w:rsidRDefault="00846084" w:rsidP="00883490">
      <w:pPr>
        <w:pStyle w:val="Luettelokappale"/>
        <w:numPr>
          <w:ilvl w:val="0"/>
          <w:numId w:val="29"/>
        </w:numPr>
        <w:ind w:left="993" w:hanging="709"/>
      </w:pPr>
      <w:r w:rsidRPr="00580BC3">
        <w:t xml:space="preserve">In </w:t>
      </w:r>
      <w:r>
        <w:t xml:space="preserve">template S.26.01 the following instructions are added after the instructions </w:t>
      </w:r>
      <w:commentRangeStart w:id="18"/>
      <w:r>
        <w:t xml:space="preserve">for </w:t>
      </w:r>
      <w:r w:rsidRPr="00846084">
        <w:t>R0260–R0280/C0040</w:t>
      </w:r>
      <w:commentRangeEnd w:id="18"/>
      <w:r w:rsidR="00BC3082">
        <w:rPr>
          <w:rStyle w:val="Kommentinviite"/>
          <w:lang w:eastAsia="pt-PT"/>
        </w:rPr>
        <w:commentReference w:id="18"/>
      </w:r>
      <w:r>
        <w:t>:</w:t>
      </w:r>
      <w:r w:rsidRPr="00580BC3">
        <w:t xml:space="preserve"> </w:t>
      </w:r>
    </w:p>
    <w:p w14:paraId="0B241D33" w14:textId="60D2B958" w:rsidR="00846084" w:rsidRDefault="00846084" w:rsidP="00846084">
      <w:pPr>
        <w:pStyle w:val="Luettelokappale"/>
        <w:ind w:left="993"/>
      </w:pPr>
      <w:r>
        <w:t>“</w:t>
      </w:r>
    </w:p>
    <w:tbl>
      <w:tblPr>
        <w:tblW w:w="9123" w:type="dxa"/>
        <w:tblInd w:w="637" w:type="dxa"/>
        <w:tblLayout w:type="fixed"/>
        <w:tblCellMar>
          <w:left w:w="70" w:type="dxa"/>
          <w:right w:w="70" w:type="dxa"/>
        </w:tblCellMar>
        <w:tblLook w:val="04A0" w:firstRow="1" w:lastRow="0" w:firstColumn="1" w:lastColumn="0" w:noHBand="0" w:noVBand="1"/>
      </w:tblPr>
      <w:tblGrid>
        <w:gridCol w:w="1418"/>
        <w:gridCol w:w="2585"/>
        <w:gridCol w:w="5120"/>
      </w:tblGrid>
      <w:tr w:rsidR="00846084" w:rsidRPr="00177D28" w14:paraId="2990D76E" w14:textId="77777777" w:rsidTr="00BC3082">
        <w:trPr>
          <w:trHeight w:val="1069"/>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B64C1ED" w14:textId="00461971" w:rsidR="00846084" w:rsidRPr="00BC3082" w:rsidRDefault="00846084" w:rsidP="00BC3082">
            <w:pPr>
              <w:ind w:left="72"/>
              <w:rPr>
                <w:sz w:val="20"/>
                <w:szCs w:val="20"/>
                <w:lang w:eastAsia="es-ES"/>
              </w:rPr>
            </w:pPr>
            <w:r w:rsidRPr="00BC3082">
              <w:rPr>
                <w:sz w:val="20"/>
                <w:szCs w:val="20"/>
                <w:lang w:eastAsia="es-ES"/>
              </w:rPr>
              <w:t>R029</w:t>
            </w:r>
            <w:r w:rsidR="00AA6B2D" w:rsidRPr="00BC3082">
              <w:rPr>
                <w:sz w:val="20"/>
                <w:szCs w:val="20"/>
                <w:lang w:eastAsia="es-ES"/>
              </w:rPr>
              <w:t>1</w:t>
            </w:r>
            <w:r w:rsidRPr="00BC3082">
              <w:rPr>
                <w:sz w:val="20"/>
                <w:szCs w:val="20"/>
                <w:lang w:eastAsia="es-ES"/>
              </w:rPr>
              <w:t>/C0020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23708235" w14:textId="77777777" w:rsidR="00846084" w:rsidRPr="00177D28" w:rsidRDefault="00846084" w:rsidP="00BC3082">
            <w:pPr>
              <w:ind w:left="72"/>
              <w:rPr>
                <w:sz w:val="20"/>
                <w:szCs w:val="20"/>
                <w:lang w:eastAsia="es-ES"/>
              </w:rPr>
            </w:pPr>
            <w:r w:rsidRPr="00177D28">
              <w:rPr>
                <w:sz w:val="20"/>
                <w:szCs w:val="20"/>
                <w:lang w:eastAsia="es-ES"/>
              </w:rPr>
              <w:t>Initial absolute values before shock – Assets – Equity  risk –qualifying infrastructure equities</w:t>
            </w:r>
          </w:p>
        </w:tc>
        <w:tc>
          <w:tcPr>
            <w:tcW w:w="5120" w:type="dxa"/>
            <w:tcBorders>
              <w:top w:val="single" w:sz="4" w:space="0" w:color="auto"/>
              <w:left w:val="nil"/>
              <w:bottom w:val="single" w:sz="4" w:space="0" w:color="auto"/>
              <w:right w:val="single" w:sz="4" w:space="0" w:color="auto"/>
            </w:tcBorders>
            <w:shd w:val="clear" w:color="auto" w:fill="auto"/>
            <w:hideMark/>
          </w:tcPr>
          <w:p w14:paraId="2E3FEE51" w14:textId="2938D05E" w:rsidR="00846084" w:rsidRPr="00177D28" w:rsidRDefault="00846084" w:rsidP="00BC3082">
            <w:pPr>
              <w:ind w:left="38"/>
              <w:rPr>
                <w:sz w:val="20"/>
                <w:szCs w:val="20"/>
                <w:lang w:eastAsia="es-ES"/>
              </w:rPr>
            </w:pPr>
            <w:r w:rsidRPr="00177D28">
              <w:rPr>
                <w:sz w:val="20"/>
                <w:szCs w:val="20"/>
                <w:lang w:eastAsia="es-ES"/>
              </w:rPr>
              <w:t xml:space="preserve">This is the initial absolute value of the assets sensitive to the equity risk for qualifying infrastructure </w:t>
            </w:r>
            <w:r w:rsidR="00520E2B" w:rsidRPr="00177D28">
              <w:rPr>
                <w:sz w:val="20"/>
                <w:szCs w:val="20"/>
                <w:lang w:eastAsia="es-ES"/>
              </w:rPr>
              <w:t xml:space="preserve">corporate </w:t>
            </w:r>
            <w:r w:rsidRPr="00177D28">
              <w:rPr>
                <w:sz w:val="20"/>
                <w:szCs w:val="20"/>
                <w:lang w:eastAsia="es-ES"/>
              </w:rPr>
              <w:t>equities.</w:t>
            </w:r>
          </w:p>
          <w:p w14:paraId="65A662B4" w14:textId="77777777" w:rsidR="00846084" w:rsidRPr="00177D28" w:rsidRDefault="00846084" w:rsidP="00AA6B2D">
            <w:pPr>
              <w:ind w:left="284"/>
              <w:rPr>
                <w:sz w:val="20"/>
                <w:szCs w:val="20"/>
                <w:lang w:eastAsia="es-ES"/>
              </w:rPr>
            </w:pPr>
          </w:p>
          <w:p w14:paraId="3B2585F5" w14:textId="77777777" w:rsidR="00846084" w:rsidRPr="00177D28" w:rsidRDefault="00846084" w:rsidP="00BC3082">
            <w:pPr>
              <w:ind w:left="38"/>
              <w:rPr>
                <w:sz w:val="20"/>
                <w:szCs w:val="20"/>
                <w:lang w:eastAsia="es-ES"/>
              </w:rPr>
            </w:pPr>
            <w:r w:rsidRPr="00177D28">
              <w:rPr>
                <w:sz w:val="20"/>
                <w:szCs w:val="20"/>
                <w:lang w:eastAsia="es-ES"/>
              </w:rPr>
              <w:t>Recoverables from reinsurance and SPVs shall not be included in this cell.</w:t>
            </w:r>
          </w:p>
        </w:tc>
      </w:tr>
      <w:tr w:rsidR="00846084" w:rsidRPr="00177D28" w14:paraId="136C40DF" w14:textId="77777777" w:rsidTr="00BC3082">
        <w:trPr>
          <w:trHeight w:val="93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A55F1E" w14:textId="1C4AB2BC" w:rsidR="00846084" w:rsidRPr="00BC3082" w:rsidRDefault="00846084" w:rsidP="00BC3082">
            <w:pPr>
              <w:ind w:left="72"/>
              <w:rPr>
                <w:sz w:val="20"/>
                <w:szCs w:val="20"/>
                <w:lang w:eastAsia="es-ES"/>
              </w:rPr>
            </w:pPr>
            <w:r w:rsidRPr="00BC3082">
              <w:rPr>
                <w:sz w:val="20"/>
                <w:szCs w:val="20"/>
                <w:lang w:eastAsia="es-ES"/>
              </w:rPr>
              <w:t>R029</w:t>
            </w:r>
            <w:r w:rsidR="00AA6B2D" w:rsidRPr="00BC3082">
              <w:rPr>
                <w:sz w:val="20"/>
                <w:szCs w:val="20"/>
                <w:lang w:eastAsia="es-ES"/>
              </w:rPr>
              <w:t>1</w:t>
            </w:r>
            <w:r w:rsidRPr="00BC3082">
              <w:rPr>
                <w:sz w:val="20"/>
                <w:szCs w:val="20"/>
                <w:lang w:eastAsia="es-ES"/>
              </w:rPr>
              <w:t>/C0030</w:t>
            </w:r>
          </w:p>
        </w:tc>
        <w:tc>
          <w:tcPr>
            <w:tcW w:w="2585" w:type="dxa"/>
            <w:tcBorders>
              <w:top w:val="single" w:sz="4" w:space="0" w:color="auto"/>
              <w:left w:val="nil"/>
              <w:bottom w:val="single" w:sz="4" w:space="0" w:color="auto"/>
              <w:right w:val="single" w:sz="4" w:space="0" w:color="auto"/>
            </w:tcBorders>
            <w:shd w:val="clear" w:color="auto" w:fill="auto"/>
            <w:hideMark/>
          </w:tcPr>
          <w:p w14:paraId="473ED8AA" w14:textId="77777777" w:rsidR="00846084" w:rsidRPr="00177D28" w:rsidRDefault="00846084" w:rsidP="00BC3082">
            <w:pPr>
              <w:ind w:left="72"/>
              <w:rPr>
                <w:sz w:val="20"/>
                <w:szCs w:val="20"/>
                <w:lang w:eastAsia="es-ES"/>
              </w:rPr>
            </w:pPr>
            <w:r w:rsidRPr="00177D28">
              <w:rPr>
                <w:sz w:val="20"/>
                <w:szCs w:val="20"/>
                <w:lang w:eastAsia="es-ES"/>
              </w:rPr>
              <w:t xml:space="preserve">Initial absolute values before shock – Liabilities – Equity risk – qualifying infrastructure equities   </w:t>
            </w:r>
          </w:p>
        </w:tc>
        <w:tc>
          <w:tcPr>
            <w:tcW w:w="5120" w:type="dxa"/>
            <w:tcBorders>
              <w:top w:val="single" w:sz="4" w:space="0" w:color="auto"/>
              <w:left w:val="nil"/>
              <w:bottom w:val="single" w:sz="4" w:space="0" w:color="auto"/>
              <w:right w:val="single" w:sz="4" w:space="0" w:color="auto"/>
            </w:tcBorders>
            <w:shd w:val="clear" w:color="auto" w:fill="auto"/>
            <w:hideMark/>
          </w:tcPr>
          <w:p w14:paraId="510AD8A2" w14:textId="039E5EE0" w:rsidR="00846084" w:rsidRPr="00177D28" w:rsidRDefault="00846084" w:rsidP="00BC3082">
            <w:pPr>
              <w:ind w:left="38"/>
              <w:rPr>
                <w:sz w:val="20"/>
                <w:szCs w:val="20"/>
                <w:lang w:eastAsia="es-ES"/>
              </w:rPr>
            </w:pPr>
            <w:r w:rsidRPr="00177D28">
              <w:rPr>
                <w:sz w:val="20"/>
                <w:szCs w:val="20"/>
                <w:lang w:eastAsia="es-ES"/>
              </w:rPr>
              <w:t>This is the initial absolute value of liabilities sensitive to the equity risk</w:t>
            </w:r>
            <w:r w:rsidRPr="00177D28">
              <w:rPr>
                <w:strike/>
                <w:sz w:val="20"/>
                <w:szCs w:val="20"/>
                <w:lang w:eastAsia="es-ES"/>
              </w:rPr>
              <w:t xml:space="preserve"> </w:t>
            </w:r>
            <w:r w:rsidRPr="00177D28">
              <w:rPr>
                <w:sz w:val="20"/>
                <w:szCs w:val="20"/>
                <w:lang w:eastAsia="es-ES"/>
              </w:rPr>
              <w:t>for qualifying infrastructure</w:t>
            </w:r>
            <w:r w:rsidR="00520E2B" w:rsidRPr="00177D28">
              <w:rPr>
                <w:sz w:val="20"/>
                <w:szCs w:val="20"/>
                <w:lang w:eastAsia="es-ES"/>
              </w:rPr>
              <w:t xml:space="preserve"> corporate</w:t>
            </w:r>
            <w:r w:rsidRPr="00177D28">
              <w:rPr>
                <w:sz w:val="20"/>
                <w:szCs w:val="20"/>
                <w:lang w:eastAsia="es-ES"/>
              </w:rPr>
              <w:t xml:space="preserve"> equities.</w:t>
            </w:r>
          </w:p>
          <w:p w14:paraId="2825A7C1" w14:textId="77777777" w:rsidR="00846084" w:rsidRPr="00177D28" w:rsidRDefault="00846084" w:rsidP="00AA6B2D">
            <w:pPr>
              <w:ind w:left="284"/>
              <w:rPr>
                <w:sz w:val="20"/>
                <w:szCs w:val="20"/>
                <w:lang w:eastAsia="es-ES"/>
              </w:rPr>
            </w:pPr>
          </w:p>
          <w:p w14:paraId="47A155FA" w14:textId="77777777" w:rsidR="00846084" w:rsidRPr="00177D28" w:rsidRDefault="00846084" w:rsidP="00BC3082">
            <w:pPr>
              <w:ind w:left="38"/>
              <w:rPr>
                <w:sz w:val="20"/>
                <w:szCs w:val="20"/>
                <w:lang w:eastAsia="es-ES"/>
              </w:rPr>
            </w:pPr>
            <w:r w:rsidRPr="00177D28">
              <w:rPr>
                <w:sz w:val="20"/>
                <w:szCs w:val="20"/>
                <w:lang w:eastAsia="es-ES"/>
              </w:rPr>
              <w:t>The amount of TP shall be net of reinsurance and SPV recoverables.</w:t>
            </w:r>
          </w:p>
        </w:tc>
      </w:tr>
      <w:tr w:rsidR="00846084" w:rsidRPr="00177D28" w14:paraId="0BFE911C" w14:textId="77777777" w:rsidTr="00BC3082">
        <w:trPr>
          <w:trHeight w:val="1097"/>
        </w:trPr>
        <w:tc>
          <w:tcPr>
            <w:tcW w:w="1418" w:type="dxa"/>
            <w:tcBorders>
              <w:top w:val="nil"/>
              <w:left w:val="single" w:sz="4" w:space="0" w:color="auto"/>
              <w:bottom w:val="single" w:sz="4" w:space="0" w:color="auto"/>
              <w:right w:val="single" w:sz="4" w:space="0" w:color="auto"/>
            </w:tcBorders>
            <w:shd w:val="clear" w:color="auto" w:fill="auto"/>
          </w:tcPr>
          <w:p w14:paraId="3B0177D0" w14:textId="78B78FFD" w:rsidR="00846084" w:rsidRPr="00BC3082" w:rsidRDefault="00846084" w:rsidP="00BC3082">
            <w:pPr>
              <w:ind w:left="72"/>
              <w:rPr>
                <w:sz w:val="20"/>
                <w:szCs w:val="20"/>
                <w:lang w:eastAsia="es-ES"/>
              </w:rPr>
            </w:pPr>
            <w:r w:rsidRPr="00BC3082">
              <w:rPr>
                <w:sz w:val="20"/>
                <w:szCs w:val="20"/>
                <w:lang w:eastAsia="es-ES"/>
              </w:rPr>
              <w:t>R029</w:t>
            </w:r>
            <w:r w:rsidR="00AA6B2D" w:rsidRPr="00BC3082">
              <w:rPr>
                <w:sz w:val="20"/>
                <w:szCs w:val="20"/>
                <w:lang w:eastAsia="es-ES"/>
              </w:rPr>
              <w:t>1</w:t>
            </w:r>
            <w:r w:rsidRPr="00BC3082">
              <w:rPr>
                <w:sz w:val="20"/>
                <w:szCs w:val="20"/>
                <w:lang w:eastAsia="es-ES"/>
              </w:rPr>
              <w:t>/C0040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425E475F" w14:textId="77777777" w:rsidR="00846084" w:rsidRPr="00177D28" w:rsidRDefault="00846084" w:rsidP="00BC3082">
            <w:pPr>
              <w:ind w:left="72"/>
              <w:rPr>
                <w:sz w:val="20"/>
                <w:szCs w:val="20"/>
                <w:lang w:eastAsia="es-ES"/>
              </w:rPr>
            </w:pPr>
            <w:r w:rsidRPr="00177D28">
              <w:rPr>
                <w:sz w:val="20"/>
                <w:szCs w:val="20"/>
                <w:lang w:eastAsia="es-ES"/>
              </w:rPr>
              <w:t xml:space="preserve">Absolute values after shock – Assets – Equity risk – qualifying infrastructure equities </w:t>
            </w:r>
          </w:p>
        </w:tc>
        <w:tc>
          <w:tcPr>
            <w:tcW w:w="5120" w:type="dxa"/>
            <w:tcBorders>
              <w:top w:val="single" w:sz="4" w:space="0" w:color="auto"/>
              <w:left w:val="nil"/>
              <w:bottom w:val="single" w:sz="4" w:space="0" w:color="auto"/>
              <w:right w:val="single" w:sz="4" w:space="0" w:color="auto"/>
            </w:tcBorders>
            <w:shd w:val="clear" w:color="auto" w:fill="auto"/>
            <w:hideMark/>
          </w:tcPr>
          <w:p w14:paraId="35E4D510" w14:textId="1EA89E07" w:rsidR="00846084" w:rsidRPr="00177D28" w:rsidRDefault="00846084" w:rsidP="00BC3082">
            <w:pPr>
              <w:ind w:left="38"/>
              <w:rPr>
                <w:sz w:val="20"/>
                <w:szCs w:val="20"/>
                <w:lang w:eastAsia="es-ES"/>
              </w:rPr>
            </w:pPr>
            <w:r w:rsidRPr="00177D28">
              <w:rPr>
                <w:sz w:val="20"/>
                <w:szCs w:val="20"/>
                <w:lang w:eastAsia="es-ES"/>
              </w:rPr>
              <w:t xml:space="preserve">This is the absolute value of the assets sensitive to equity risk charge for qualifying infrastructure </w:t>
            </w:r>
            <w:r w:rsidR="00520E2B" w:rsidRPr="00177D28">
              <w:rPr>
                <w:sz w:val="20"/>
                <w:szCs w:val="20"/>
                <w:lang w:eastAsia="es-ES"/>
              </w:rPr>
              <w:t xml:space="preserve">corporate </w:t>
            </w:r>
            <w:r w:rsidRPr="00177D28">
              <w:rPr>
                <w:sz w:val="20"/>
                <w:szCs w:val="20"/>
                <w:lang w:eastAsia="es-ES"/>
              </w:rPr>
              <w:t>equities, after the shock.</w:t>
            </w:r>
          </w:p>
          <w:p w14:paraId="26CEA094" w14:textId="77777777" w:rsidR="00846084" w:rsidRPr="00177D28" w:rsidRDefault="00846084" w:rsidP="00BC3082">
            <w:pPr>
              <w:ind w:left="38"/>
              <w:rPr>
                <w:sz w:val="20"/>
                <w:szCs w:val="20"/>
                <w:lang w:eastAsia="es-ES"/>
              </w:rPr>
            </w:pPr>
          </w:p>
          <w:p w14:paraId="5FF31878" w14:textId="77777777" w:rsidR="00846084" w:rsidRPr="00177D28" w:rsidRDefault="00846084" w:rsidP="00BC3082">
            <w:pPr>
              <w:ind w:left="38"/>
              <w:rPr>
                <w:sz w:val="20"/>
                <w:szCs w:val="20"/>
                <w:lang w:eastAsia="es-ES"/>
              </w:rPr>
            </w:pPr>
            <w:r w:rsidRPr="00177D28">
              <w:rPr>
                <w:sz w:val="20"/>
                <w:szCs w:val="20"/>
                <w:lang w:eastAsia="es-ES"/>
              </w:rPr>
              <w:t>Recoverables from reinsurance and SPVs shall not be included in this cell.</w:t>
            </w:r>
          </w:p>
        </w:tc>
      </w:tr>
      <w:tr w:rsidR="00846084" w:rsidRPr="00177D28" w14:paraId="1683398C" w14:textId="77777777" w:rsidTr="00BC3082">
        <w:trPr>
          <w:trHeight w:val="150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01186A9" w14:textId="351BE641" w:rsidR="00846084" w:rsidRPr="00BC3082" w:rsidRDefault="00846084" w:rsidP="00BC3082">
            <w:pPr>
              <w:ind w:left="72"/>
              <w:rPr>
                <w:sz w:val="20"/>
                <w:szCs w:val="20"/>
                <w:lang w:eastAsia="es-ES"/>
              </w:rPr>
            </w:pPr>
            <w:r w:rsidRPr="00BC3082">
              <w:rPr>
                <w:sz w:val="20"/>
                <w:szCs w:val="20"/>
                <w:lang w:eastAsia="es-ES"/>
              </w:rPr>
              <w:t>R029</w:t>
            </w:r>
            <w:r w:rsidR="00AA6B2D" w:rsidRPr="00BC3082">
              <w:rPr>
                <w:sz w:val="20"/>
                <w:szCs w:val="20"/>
                <w:lang w:eastAsia="es-ES"/>
              </w:rPr>
              <w:t>1</w:t>
            </w:r>
            <w:r w:rsidRPr="00BC3082">
              <w:rPr>
                <w:sz w:val="20"/>
                <w:szCs w:val="20"/>
                <w:lang w:eastAsia="es-ES"/>
              </w:rPr>
              <w:t>/C0050</w:t>
            </w:r>
          </w:p>
        </w:tc>
        <w:tc>
          <w:tcPr>
            <w:tcW w:w="2585" w:type="dxa"/>
            <w:tcBorders>
              <w:top w:val="single" w:sz="4" w:space="0" w:color="auto"/>
              <w:left w:val="nil"/>
              <w:bottom w:val="single" w:sz="4" w:space="0" w:color="auto"/>
              <w:right w:val="single" w:sz="4" w:space="0" w:color="auto"/>
            </w:tcBorders>
            <w:shd w:val="clear" w:color="auto" w:fill="auto"/>
            <w:hideMark/>
          </w:tcPr>
          <w:p w14:paraId="7B67D0AA" w14:textId="77777777" w:rsidR="00846084" w:rsidRPr="00177D28" w:rsidRDefault="00846084" w:rsidP="00BC3082">
            <w:pPr>
              <w:ind w:left="72"/>
              <w:rPr>
                <w:sz w:val="20"/>
                <w:szCs w:val="20"/>
                <w:lang w:eastAsia="es-ES"/>
              </w:rPr>
            </w:pPr>
            <w:r w:rsidRPr="00177D28">
              <w:rPr>
                <w:sz w:val="20"/>
                <w:szCs w:val="20"/>
                <w:lang w:eastAsia="es-ES"/>
              </w:rPr>
              <w:t>Absolute values after shock – Liabilities (after the loss absorbing capacity of technical provisions) – Equity risk – qualifying infrastructure equities</w:t>
            </w:r>
          </w:p>
        </w:tc>
        <w:tc>
          <w:tcPr>
            <w:tcW w:w="5120" w:type="dxa"/>
            <w:tcBorders>
              <w:top w:val="single" w:sz="4" w:space="0" w:color="auto"/>
              <w:left w:val="nil"/>
              <w:bottom w:val="single" w:sz="4" w:space="0" w:color="auto"/>
              <w:right w:val="single" w:sz="4" w:space="0" w:color="auto"/>
            </w:tcBorders>
            <w:shd w:val="clear" w:color="auto" w:fill="auto"/>
            <w:hideMark/>
          </w:tcPr>
          <w:p w14:paraId="58BD10B4" w14:textId="6A34A3E2" w:rsidR="00846084" w:rsidRPr="00177D28" w:rsidRDefault="00846084" w:rsidP="00BC3082">
            <w:pPr>
              <w:ind w:left="38"/>
              <w:rPr>
                <w:sz w:val="20"/>
                <w:szCs w:val="20"/>
                <w:lang w:eastAsia="es-ES"/>
              </w:rPr>
            </w:pPr>
            <w:r w:rsidRPr="00177D28">
              <w:rPr>
                <w:sz w:val="20"/>
                <w:szCs w:val="20"/>
                <w:lang w:eastAsia="es-ES"/>
              </w:rPr>
              <w:t xml:space="preserve">This is the absolute value of liabilities sensitive to equity risk (for qualifying infrastructure </w:t>
            </w:r>
            <w:r w:rsidR="00520E2B" w:rsidRPr="00177D28">
              <w:rPr>
                <w:sz w:val="20"/>
                <w:szCs w:val="20"/>
                <w:lang w:eastAsia="es-ES"/>
              </w:rPr>
              <w:t xml:space="preserve">corporate </w:t>
            </w:r>
            <w:r w:rsidRPr="00177D28">
              <w:rPr>
                <w:sz w:val="20"/>
                <w:szCs w:val="20"/>
                <w:lang w:eastAsia="es-ES"/>
              </w:rPr>
              <w:t>equities), after the shock and after the loss absorbing capacity of technical provisions.</w:t>
            </w:r>
          </w:p>
          <w:p w14:paraId="6836A879" w14:textId="77777777" w:rsidR="00846084" w:rsidRPr="00177D28" w:rsidRDefault="00846084" w:rsidP="00AA6B2D">
            <w:pPr>
              <w:ind w:left="284"/>
              <w:rPr>
                <w:sz w:val="20"/>
                <w:szCs w:val="20"/>
                <w:lang w:eastAsia="es-ES"/>
              </w:rPr>
            </w:pPr>
          </w:p>
          <w:p w14:paraId="13EA170E" w14:textId="77777777" w:rsidR="00846084" w:rsidRPr="00177D28" w:rsidRDefault="00846084" w:rsidP="00BC3082">
            <w:pPr>
              <w:ind w:left="38"/>
              <w:rPr>
                <w:sz w:val="20"/>
                <w:szCs w:val="20"/>
                <w:lang w:eastAsia="es-ES"/>
              </w:rPr>
            </w:pPr>
            <w:r w:rsidRPr="00177D28">
              <w:rPr>
                <w:sz w:val="20"/>
                <w:szCs w:val="20"/>
                <w:lang w:eastAsia="es-ES"/>
              </w:rPr>
              <w:t>The amount of TP shall be net of reinsurance and SPV recoverables.</w:t>
            </w:r>
          </w:p>
        </w:tc>
      </w:tr>
      <w:tr w:rsidR="00846084" w:rsidRPr="00177D28" w14:paraId="59940EDD" w14:textId="77777777" w:rsidTr="00BC3082">
        <w:trPr>
          <w:trHeight w:val="1124"/>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34371F2" w14:textId="0A5D2382" w:rsidR="00846084" w:rsidRPr="00BC3082" w:rsidRDefault="00846084" w:rsidP="00BC3082">
            <w:pPr>
              <w:ind w:left="72"/>
              <w:rPr>
                <w:sz w:val="20"/>
                <w:szCs w:val="20"/>
                <w:lang w:eastAsia="es-ES"/>
              </w:rPr>
            </w:pPr>
            <w:r w:rsidRPr="00BC3082">
              <w:rPr>
                <w:sz w:val="20"/>
                <w:szCs w:val="20"/>
                <w:lang w:eastAsia="es-ES"/>
              </w:rPr>
              <w:t>R029</w:t>
            </w:r>
            <w:r w:rsidR="00AA6B2D" w:rsidRPr="00BC3082">
              <w:rPr>
                <w:sz w:val="20"/>
                <w:szCs w:val="20"/>
                <w:lang w:eastAsia="es-ES"/>
              </w:rPr>
              <w:t>1</w:t>
            </w:r>
            <w:r w:rsidRPr="00BC3082">
              <w:rPr>
                <w:sz w:val="20"/>
                <w:szCs w:val="20"/>
                <w:lang w:eastAsia="es-ES"/>
              </w:rPr>
              <w:t>/C0060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0D7732B3" w14:textId="77777777" w:rsidR="00846084" w:rsidRPr="00177D28" w:rsidRDefault="00846084" w:rsidP="00BC3082">
            <w:pPr>
              <w:ind w:left="72"/>
              <w:rPr>
                <w:sz w:val="20"/>
                <w:szCs w:val="20"/>
                <w:lang w:eastAsia="es-ES"/>
              </w:rPr>
            </w:pPr>
            <w:r w:rsidRPr="00177D28">
              <w:rPr>
                <w:sz w:val="20"/>
                <w:szCs w:val="20"/>
                <w:lang w:eastAsia="es-ES"/>
              </w:rPr>
              <w:t>Absolute value after shock – Net solvency capital requirement – Equity risk –qualifying infrastructure equities</w:t>
            </w:r>
          </w:p>
        </w:tc>
        <w:tc>
          <w:tcPr>
            <w:tcW w:w="5120" w:type="dxa"/>
            <w:tcBorders>
              <w:top w:val="single" w:sz="4" w:space="0" w:color="auto"/>
              <w:left w:val="nil"/>
              <w:bottom w:val="single" w:sz="4" w:space="0" w:color="auto"/>
              <w:right w:val="single" w:sz="4" w:space="0" w:color="auto"/>
            </w:tcBorders>
            <w:shd w:val="clear" w:color="auto" w:fill="auto"/>
            <w:hideMark/>
          </w:tcPr>
          <w:p w14:paraId="30E0B214" w14:textId="4AAD3ACE" w:rsidR="00846084" w:rsidRPr="00177D28" w:rsidRDefault="00846084" w:rsidP="00BC3082">
            <w:pPr>
              <w:ind w:left="38"/>
              <w:rPr>
                <w:sz w:val="20"/>
                <w:szCs w:val="20"/>
                <w:lang w:eastAsia="es-ES"/>
              </w:rPr>
            </w:pPr>
            <w:r w:rsidRPr="00177D28">
              <w:rPr>
                <w:sz w:val="20"/>
                <w:szCs w:val="20"/>
                <w:lang w:eastAsia="es-ES"/>
              </w:rPr>
              <w:t xml:space="preserve">This is the net capital charge for equity risk (for qualifying infrastructure </w:t>
            </w:r>
            <w:r w:rsidR="00520E2B" w:rsidRPr="00177D28">
              <w:rPr>
                <w:sz w:val="20"/>
                <w:szCs w:val="20"/>
                <w:lang w:eastAsia="es-ES"/>
              </w:rPr>
              <w:t xml:space="preserve">corporate </w:t>
            </w:r>
            <w:r w:rsidRPr="00177D28">
              <w:rPr>
                <w:sz w:val="20"/>
                <w:szCs w:val="20"/>
                <w:lang w:eastAsia="es-ES"/>
              </w:rPr>
              <w:t xml:space="preserve">equities) after adjustment for the loss absorbing capacity of technical provisions. </w:t>
            </w:r>
          </w:p>
          <w:p w14:paraId="371C73D2" w14:textId="77777777" w:rsidR="00846084" w:rsidRPr="00177D28" w:rsidRDefault="00846084" w:rsidP="00AA6B2D">
            <w:pPr>
              <w:ind w:left="284"/>
              <w:rPr>
                <w:sz w:val="20"/>
                <w:szCs w:val="20"/>
                <w:lang w:eastAsia="es-ES"/>
              </w:rPr>
            </w:pPr>
          </w:p>
        </w:tc>
      </w:tr>
      <w:tr w:rsidR="00846084" w:rsidRPr="0077205D" w14:paraId="3BBE774F" w14:textId="77777777" w:rsidTr="00BC3082">
        <w:trPr>
          <w:trHeight w:val="157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00B0A61" w14:textId="3227E82D" w:rsidR="00846084" w:rsidRPr="0077205D" w:rsidRDefault="00846084" w:rsidP="00BC3082">
            <w:pPr>
              <w:ind w:left="72"/>
              <w:rPr>
                <w:sz w:val="20"/>
                <w:szCs w:val="20"/>
                <w:lang w:eastAsia="es-ES"/>
              </w:rPr>
            </w:pPr>
            <w:r w:rsidRPr="0077205D">
              <w:rPr>
                <w:sz w:val="20"/>
                <w:szCs w:val="20"/>
                <w:lang w:eastAsia="es-ES"/>
              </w:rPr>
              <w:t>R029</w:t>
            </w:r>
            <w:r w:rsidR="00AA6B2D" w:rsidRPr="0077205D">
              <w:rPr>
                <w:sz w:val="20"/>
                <w:szCs w:val="20"/>
                <w:lang w:eastAsia="es-ES"/>
              </w:rPr>
              <w:t>1</w:t>
            </w:r>
            <w:r w:rsidRPr="0077205D">
              <w:rPr>
                <w:sz w:val="20"/>
                <w:szCs w:val="20"/>
                <w:lang w:eastAsia="es-ES"/>
              </w:rPr>
              <w:t>/C0070</w:t>
            </w:r>
          </w:p>
        </w:tc>
        <w:tc>
          <w:tcPr>
            <w:tcW w:w="2585" w:type="dxa"/>
            <w:tcBorders>
              <w:top w:val="single" w:sz="4" w:space="0" w:color="auto"/>
              <w:left w:val="nil"/>
              <w:bottom w:val="single" w:sz="4" w:space="0" w:color="auto"/>
              <w:right w:val="single" w:sz="4" w:space="0" w:color="auto"/>
            </w:tcBorders>
            <w:shd w:val="clear" w:color="auto" w:fill="auto"/>
            <w:hideMark/>
          </w:tcPr>
          <w:p w14:paraId="6299F9C3" w14:textId="77777777" w:rsidR="00846084" w:rsidRPr="0077205D" w:rsidRDefault="00846084" w:rsidP="00BC3082">
            <w:pPr>
              <w:ind w:left="72"/>
              <w:rPr>
                <w:sz w:val="20"/>
                <w:szCs w:val="20"/>
                <w:lang w:eastAsia="es-ES"/>
              </w:rPr>
            </w:pPr>
            <w:r w:rsidRPr="0077205D">
              <w:rPr>
                <w:sz w:val="20"/>
                <w:szCs w:val="20"/>
                <w:lang w:eastAsia="es-ES"/>
              </w:rPr>
              <w:t>Absolute values after shock – Liabilities (before the loss absorbing capacity of technical provisions) – Equity risk – qualifying infrastructure equities</w:t>
            </w:r>
          </w:p>
        </w:tc>
        <w:tc>
          <w:tcPr>
            <w:tcW w:w="5120" w:type="dxa"/>
            <w:tcBorders>
              <w:top w:val="single" w:sz="4" w:space="0" w:color="auto"/>
              <w:left w:val="nil"/>
              <w:bottom w:val="single" w:sz="4" w:space="0" w:color="auto"/>
              <w:right w:val="single" w:sz="4" w:space="0" w:color="auto"/>
            </w:tcBorders>
            <w:shd w:val="clear" w:color="auto" w:fill="auto"/>
            <w:hideMark/>
          </w:tcPr>
          <w:p w14:paraId="480F9577" w14:textId="41C2FC47" w:rsidR="00846084" w:rsidRPr="0077205D" w:rsidRDefault="00846084" w:rsidP="00BC3082">
            <w:pPr>
              <w:ind w:left="38"/>
              <w:rPr>
                <w:sz w:val="20"/>
                <w:szCs w:val="20"/>
                <w:lang w:eastAsia="es-ES"/>
              </w:rPr>
            </w:pPr>
            <w:r w:rsidRPr="0077205D">
              <w:rPr>
                <w:sz w:val="20"/>
                <w:szCs w:val="20"/>
                <w:lang w:eastAsia="es-ES"/>
              </w:rPr>
              <w:t xml:space="preserve">This is the absolute value of the liabilities sensitive to equity risk (for qualifying infrastructure </w:t>
            </w:r>
            <w:r w:rsidR="00520E2B" w:rsidRPr="0077205D">
              <w:rPr>
                <w:sz w:val="20"/>
                <w:szCs w:val="20"/>
                <w:lang w:eastAsia="es-ES"/>
              </w:rPr>
              <w:t xml:space="preserve">corporate </w:t>
            </w:r>
            <w:r w:rsidRPr="0077205D">
              <w:rPr>
                <w:sz w:val="20"/>
                <w:szCs w:val="20"/>
                <w:lang w:eastAsia="es-ES"/>
              </w:rPr>
              <w:t>equities), after the shock but before the loss absorbing capacity of technical provisions.</w:t>
            </w:r>
          </w:p>
          <w:p w14:paraId="18E5D817" w14:textId="77777777" w:rsidR="00846084" w:rsidRPr="0077205D" w:rsidRDefault="00846084" w:rsidP="00AA6B2D">
            <w:pPr>
              <w:ind w:left="284"/>
              <w:rPr>
                <w:sz w:val="20"/>
                <w:szCs w:val="20"/>
                <w:lang w:eastAsia="es-ES"/>
              </w:rPr>
            </w:pPr>
          </w:p>
          <w:p w14:paraId="449FA660" w14:textId="77777777" w:rsidR="00846084" w:rsidRPr="0077205D" w:rsidRDefault="00846084" w:rsidP="00BC3082">
            <w:pPr>
              <w:ind w:left="38"/>
              <w:rPr>
                <w:sz w:val="20"/>
                <w:szCs w:val="20"/>
                <w:lang w:eastAsia="es-ES"/>
              </w:rPr>
            </w:pPr>
            <w:r w:rsidRPr="0077205D">
              <w:rPr>
                <w:sz w:val="20"/>
                <w:szCs w:val="20"/>
                <w:lang w:eastAsia="es-ES"/>
              </w:rPr>
              <w:t>The amount of TP shall be net of reinsurance and SPV recoverables.</w:t>
            </w:r>
          </w:p>
        </w:tc>
      </w:tr>
      <w:tr w:rsidR="00846084" w:rsidRPr="0077205D" w14:paraId="36594A9B" w14:textId="77777777" w:rsidTr="00BC3082">
        <w:trPr>
          <w:trHeight w:val="95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4F3E1A7" w14:textId="4002D7CC" w:rsidR="00846084" w:rsidRPr="0077205D" w:rsidRDefault="00846084" w:rsidP="00BC3082">
            <w:pPr>
              <w:ind w:left="72"/>
              <w:rPr>
                <w:sz w:val="20"/>
                <w:szCs w:val="20"/>
                <w:lang w:eastAsia="es-ES"/>
              </w:rPr>
            </w:pPr>
            <w:r w:rsidRPr="0077205D">
              <w:rPr>
                <w:sz w:val="20"/>
                <w:szCs w:val="20"/>
                <w:lang w:eastAsia="es-ES"/>
              </w:rPr>
              <w:t>R029</w:t>
            </w:r>
            <w:r w:rsidR="00AA6B2D" w:rsidRPr="0077205D">
              <w:rPr>
                <w:sz w:val="20"/>
                <w:szCs w:val="20"/>
                <w:lang w:eastAsia="es-ES"/>
              </w:rPr>
              <w:t>1</w:t>
            </w:r>
            <w:r w:rsidRPr="0077205D">
              <w:rPr>
                <w:sz w:val="20"/>
                <w:szCs w:val="20"/>
                <w:lang w:eastAsia="es-ES"/>
              </w:rPr>
              <w:t>/C0080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6B246FE0" w14:textId="77777777" w:rsidR="00846084" w:rsidRPr="0077205D" w:rsidRDefault="00846084" w:rsidP="00BC3082">
            <w:pPr>
              <w:ind w:left="72"/>
              <w:rPr>
                <w:sz w:val="20"/>
                <w:szCs w:val="20"/>
                <w:lang w:eastAsia="es-ES"/>
              </w:rPr>
            </w:pPr>
            <w:r w:rsidRPr="0077205D">
              <w:rPr>
                <w:sz w:val="20"/>
                <w:szCs w:val="20"/>
                <w:lang w:eastAsia="es-ES"/>
              </w:rPr>
              <w:t>Absolute value after shock – Gross solvency capital requirement – Equity risk – qualifying infrastructure equities</w:t>
            </w:r>
          </w:p>
        </w:tc>
        <w:tc>
          <w:tcPr>
            <w:tcW w:w="5120" w:type="dxa"/>
            <w:tcBorders>
              <w:top w:val="single" w:sz="4" w:space="0" w:color="auto"/>
              <w:left w:val="single" w:sz="4" w:space="0" w:color="auto"/>
              <w:bottom w:val="single" w:sz="4" w:space="0" w:color="auto"/>
              <w:right w:val="single" w:sz="4" w:space="0" w:color="auto"/>
            </w:tcBorders>
            <w:shd w:val="clear" w:color="auto" w:fill="auto"/>
            <w:hideMark/>
          </w:tcPr>
          <w:p w14:paraId="6FE4C4A8" w14:textId="7F75BBC7" w:rsidR="00846084" w:rsidRPr="0077205D" w:rsidRDefault="00846084" w:rsidP="0055472C">
            <w:pPr>
              <w:ind w:left="38"/>
              <w:rPr>
                <w:sz w:val="20"/>
                <w:szCs w:val="20"/>
                <w:lang w:eastAsia="es-ES"/>
              </w:rPr>
            </w:pPr>
            <w:r w:rsidRPr="0077205D">
              <w:rPr>
                <w:sz w:val="20"/>
                <w:szCs w:val="20"/>
                <w:lang w:eastAsia="es-ES"/>
              </w:rPr>
              <w:t xml:space="preserve">This is the gross capital charge for equity risk for qualifying infrastructure </w:t>
            </w:r>
            <w:r w:rsidR="00520E2B" w:rsidRPr="0077205D">
              <w:rPr>
                <w:sz w:val="20"/>
                <w:szCs w:val="20"/>
                <w:lang w:eastAsia="es-ES"/>
              </w:rPr>
              <w:t xml:space="preserve">corporate </w:t>
            </w:r>
            <w:r w:rsidRPr="0077205D">
              <w:rPr>
                <w:sz w:val="20"/>
                <w:szCs w:val="20"/>
                <w:lang w:eastAsia="es-ES"/>
              </w:rPr>
              <w:t>equities, i.e. before the loss absorbing capacity of technical provisions.</w:t>
            </w:r>
          </w:p>
        </w:tc>
      </w:tr>
    </w:tbl>
    <w:p w14:paraId="79ACD06B" w14:textId="32B8597B" w:rsidR="0009505E" w:rsidRPr="0077205D" w:rsidRDefault="00846084" w:rsidP="00AA6B2D">
      <w:pPr>
        <w:pStyle w:val="Luettelokappale"/>
        <w:ind w:left="284"/>
        <w:jc w:val="both"/>
      </w:pPr>
      <w:r w:rsidRPr="0077205D">
        <w:t>“;</w:t>
      </w:r>
    </w:p>
    <w:p w14:paraId="27AB1429" w14:textId="69374B67" w:rsidR="00434172" w:rsidRPr="0077205D" w:rsidRDefault="00434172" w:rsidP="00434172">
      <w:pPr>
        <w:pStyle w:val="Luettelokappale"/>
        <w:numPr>
          <w:ilvl w:val="0"/>
          <w:numId w:val="29"/>
        </w:numPr>
        <w:ind w:left="993" w:hanging="709"/>
      </w:pPr>
      <w:r w:rsidRPr="0077205D">
        <w:t xml:space="preserve">In template S.26.01 the following instructions are added after the instructions </w:t>
      </w:r>
      <w:commentRangeStart w:id="19"/>
      <w:r w:rsidRPr="0077205D">
        <w:t>for R0412/C0080</w:t>
      </w:r>
      <w:commentRangeEnd w:id="19"/>
      <w:r w:rsidRPr="0077205D">
        <w:commentReference w:id="19"/>
      </w:r>
      <w:r w:rsidRPr="0077205D">
        <w:t xml:space="preserve">: </w:t>
      </w:r>
    </w:p>
    <w:p w14:paraId="69312EBA" w14:textId="77777777" w:rsidR="00434172" w:rsidRPr="0077205D" w:rsidRDefault="00434172" w:rsidP="00434172">
      <w:pPr>
        <w:pStyle w:val="Luettelokappale"/>
        <w:ind w:left="993"/>
      </w:pPr>
      <w:r w:rsidRPr="0077205D">
        <w:t>“</w:t>
      </w:r>
    </w:p>
    <w:tbl>
      <w:tblPr>
        <w:tblW w:w="9123" w:type="dxa"/>
        <w:tblInd w:w="637" w:type="dxa"/>
        <w:tblLayout w:type="fixed"/>
        <w:tblCellMar>
          <w:left w:w="70" w:type="dxa"/>
          <w:right w:w="70" w:type="dxa"/>
        </w:tblCellMar>
        <w:tblLook w:val="04A0" w:firstRow="1" w:lastRow="0" w:firstColumn="1" w:lastColumn="0" w:noHBand="0" w:noVBand="1"/>
      </w:tblPr>
      <w:tblGrid>
        <w:gridCol w:w="1418"/>
        <w:gridCol w:w="2585"/>
        <w:gridCol w:w="5120"/>
      </w:tblGrid>
      <w:tr w:rsidR="00434172" w:rsidRPr="0077205D" w14:paraId="14E2E35E" w14:textId="77777777" w:rsidTr="0010309E">
        <w:trPr>
          <w:trHeight w:val="1069"/>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EDA7A80" w14:textId="67A673D4" w:rsidR="00434172" w:rsidRPr="0077205D" w:rsidRDefault="00434172" w:rsidP="00434172">
            <w:pPr>
              <w:ind w:left="72"/>
              <w:rPr>
                <w:sz w:val="20"/>
                <w:szCs w:val="20"/>
                <w:lang w:eastAsia="es-ES"/>
              </w:rPr>
            </w:pPr>
            <w:r w:rsidRPr="0077205D">
              <w:rPr>
                <w:sz w:val="20"/>
                <w:szCs w:val="20"/>
                <w:lang w:eastAsia="es-ES"/>
              </w:rPr>
              <w:t>R0413/C0020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3E9A4DAD" w14:textId="367C3B2B" w:rsidR="00434172" w:rsidRPr="0077205D" w:rsidRDefault="00434172" w:rsidP="0010309E">
            <w:pPr>
              <w:ind w:left="72"/>
              <w:rPr>
                <w:sz w:val="20"/>
                <w:szCs w:val="20"/>
                <w:lang w:eastAsia="es-ES"/>
              </w:rPr>
            </w:pPr>
            <w:r w:rsidRPr="0077205D">
              <w:rPr>
                <w:sz w:val="20"/>
                <w:szCs w:val="20"/>
                <w:lang w:eastAsia="es-ES"/>
              </w:rPr>
              <w:t>Initial absolute values before shock – Assets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29525E10" w14:textId="36B6831E" w:rsidR="00434172" w:rsidRPr="0077205D" w:rsidRDefault="00434172" w:rsidP="0010309E">
            <w:pPr>
              <w:rPr>
                <w:sz w:val="20"/>
                <w:szCs w:val="20"/>
                <w:lang w:eastAsia="es-ES"/>
              </w:rPr>
            </w:pPr>
            <w:r w:rsidRPr="0077205D">
              <w:rPr>
                <w:sz w:val="20"/>
                <w:szCs w:val="20"/>
                <w:lang w:eastAsia="es-ES"/>
              </w:rPr>
              <w:t>This is the initial absolute value of the assets sensitive to the spread risk on bonds and loans that are qualifying infrastructure corporate investment.</w:t>
            </w:r>
          </w:p>
          <w:p w14:paraId="02190509" w14:textId="57EF4AE7" w:rsidR="00434172" w:rsidRPr="0077205D" w:rsidRDefault="00434172" w:rsidP="0010309E">
            <w:pPr>
              <w:ind w:left="38"/>
              <w:rPr>
                <w:sz w:val="20"/>
                <w:szCs w:val="20"/>
                <w:lang w:eastAsia="es-ES"/>
              </w:rPr>
            </w:pPr>
            <w:r w:rsidRPr="0077205D">
              <w:rPr>
                <w:sz w:val="20"/>
                <w:szCs w:val="20"/>
                <w:lang w:eastAsia="es-ES"/>
              </w:rPr>
              <w:t>Recoverables from reinsurance and SPVs shall not be included in this cell.</w:t>
            </w:r>
          </w:p>
        </w:tc>
      </w:tr>
      <w:tr w:rsidR="00434172" w:rsidRPr="0077205D" w14:paraId="745771C3" w14:textId="77777777" w:rsidTr="0010309E">
        <w:trPr>
          <w:trHeight w:val="93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F39505C" w14:textId="0B833793" w:rsidR="00434172" w:rsidRPr="0077205D" w:rsidRDefault="00434172" w:rsidP="00434172">
            <w:pPr>
              <w:ind w:left="72"/>
              <w:rPr>
                <w:sz w:val="20"/>
                <w:szCs w:val="20"/>
                <w:lang w:eastAsia="es-ES"/>
              </w:rPr>
            </w:pPr>
            <w:r w:rsidRPr="0077205D">
              <w:rPr>
                <w:sz w:val="20"/>
                <w:szCs w:val="20"/>
                <w:lang w:eastAsia="es-ES"/>
              </w:rPr>
              <w:t>R0413/C0030</w:t>
            </w:r>
          </w:p>
        </w:tc>
        <w:tc>
          <w:tcPr>
            <w:tcW w:w="2585" w:type="dxa"/>
            <w:tcBorders>
              <w:top w:val="single" w:sz="4" w:space="0" w:color="auto"/>
              <w:left w:val="nil"/>
              <w:bottom w:val="single" w:sz="4" w:space="0" w:color="auto"/>
              <w:right w:val="single" w:sz="4" w:space="0" w:color="auto"/>
            </w:tcBorders>
            <w:shd w:val="clear" w:color="auto" w:fill="auto"/>
            <w:hideMark/>
          </w:tcPr>
          <w:p w14:paraId="34CCC7A4" w14:textId="0C051E5A" w:rsidR="00434172" w:rsidRPr="0077205D" w:rsidRDefault="00434172" w:rsidP="0010309E">
            <w:pPr>
              <w:ind w:left="72"/>
              <w:rPr>
                <w:sz w:val="20"/>
                <w:szCs w:val="20"/>
                <w:lang w:eastAsia="es-ES"/>
              </w:rPr>
            </w:pPr>
            <w:r w:rsidRPr="0077205D">
              <w:rPr>
                <w:sz w:val="20"/>
                <w:szCs w:val="20"/>
                <w:lang w:eastAsia="es-ES"/>
              </w:rPr>
              <w:t>Initial absolute values before shock – Liabilities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72E5184D" w14:textId="3C713436" w:rsidR="00434172" w:rsidRPr="0077205D" w:rsidRDefault="00434172" w:rsidP="0010309E">
            <w:pPr>
              <w:rPr>
                <w:sz w:val="20"/>
                <w:szCs w:val="20"/>
                <w:lang w:eastAsia="es-ES"/>
              </w:rPr>
            </w:pPr>
            <w:r w:rsidRPr="0077205D">
              <w:rPr>
                <w:sz w:val="20"/>
                <w:szCs w:val="20"/>
                <w:lang w:eastAsia="es-ES"/>
              </w:rPr>
              <w:t>This is the initial absolute value of the liabilities sensitive to the spread risk on bonds and loans that are qualifying infrastructure corporate investment. This value shall be reported only where the split between R0411, R0412 and R0413 could be derived from the method used for the calculation. When the split is not possible only R0410 should be filled in.</w:t>
            </w:r>
          </w:p>
          <w:p w14:paraId="2F874B10" w14:textId="59E237C2" w:rsidR="00434172" w:rsidRPr="0077205D" w:rsidRDefault="00434172" w:rsidP="0010309E">
            <w:pPr>
              <w:ind w:left="38"/>
              <w:rPr>
                <w:sz w:val="20"/>
                <w:szCs w:val="20"/>
                <w:lang w:eastAsia="es-ES"/>
              </w:rPr>
            </w:pPr>
            <w:r w:rsidRPr="0077205D">
              <w:rPr>
                <w:sz w:val="20"/>
                <w:szCs w:val="20"/>
                <w:lang w:eastAsia="es-ES"/>
              </w:rPr>
              <w:t>The amount of TP shall be net of reinsurance and SPV recoverables.</w:t>
            </w:r>
          </w:p>
        </w:tc>
      </w:tr>
      <w:tr w:rsidR="00434172" w:rsidRPr="0077205D" w14:paraId="4E1ADBDC" w14:textId="77777777" w:rsidTr="0010309E">
        <w:trPr>
          <w:trHeight w:val="1097"/>
        </w:trPr>
        <w:tc>
          <w:tcPr>
            <w:tcW w:w="1418" w:type="dxa"/>
            <w:tcBorders>
              <w:top w:val="nil"/>
              <w:left w:val="single" w:sz="4" w:space="0" w:color="auto"/>
              <w:bottom w:val="single" w:sz="4" w:space="0" w:color="auto"/>
              <w:right w:val="single" w:sz="4" w:space="0" w:color="auto"/>
            </w:tcBorders>
            <w:shd w:val="clear" w:color="auto" w:fill="auto"/>
          </w:tcPr>
          <w:p w14:paraId="59B43495" w14:textId="10B02E6C" w:rsidR="00434172" w:rsidRPr="0077205D" w:rsidRDefault="00434172" w:rsidP="00434172">
            <w:pPr>
              <w:ind w:left="72"/>
              <w:rPr>
                <w:sz w:val="20"/>
                <w:szCs w:val="20"/>
                <w:lang w:eastAsia="es-ES"/>
              </w:rPr>
            </w:pPr>
            <w:r w:rsidRPr="0077205D">
              <w:rPr>
                <w:sz w:val="20"/>
                <w:szCs w:val="20"/>
                <w:lang w:eastAsia="es-ES"/>
              </w:rPr>
              <w:t>R0413/C0040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715223CC" w14:textId="6FB2CE8D" w:rsidR="00434172" w:rsidRPr="0077205D" w:rsidRDefault="00434172" w:rsidP="0010309E">
            <w:pPr>
              <w:ind w:left="72"/>
              <w:rPr>
                <w:sz w:val="20"/>
                <w:szCs w:val="20"/>
                <w:lang w:eastAsia="es-ES"/>
              </w:rPr>
            </w:pPr>
            <w:r w:rsidRPr="0077205D">
              <w:rPr>
                <w:sz w:val="20"/>
                <w:szCs w:val="20"/>
                <w:lang w:eastAsia="es-ES"/>
              </w:rPr>
              <w:t>Absolute values after shock – Assets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31CCB92C" w14:textId="61CEF25F" w:rsidR="00434172" w:rsidRPr="0077205D" w:rsidRDefault="00434172" w:rsidP="0010309E">
            <w:pPr>
              <w:rPr>
                <w:sz w:val="20"/>
                <w:szCs w:val="20"/>
                <w:lang w:eastAsia="es-ES"/>
              </w:rPr>
            </w:pPr>
            <w:r w:rsidRPr="0077205D">
              <w:rPr>
                <w:sz w:val="20"/>
                <w:szCs w:val="20"/>
                <w:lang w:eastAsia="es-ES"/>
              </w:rPr>
              <w:t>This is the absolute value of the assets sensitive to the spread risk on bonds and loans that are qualifying infrastructure corporate  investment, after the shock.</w:t>
            </w:r>
          </w:p>
          <w:p w14:paraId="2B2BE5C7" w14:textId="15E899CA" w:rsidR="00434172" w:rsidRPr="0077205D" w:rsidRDefault="00434172" w:rsidP="0010309E">
            <w:pPr>
              <w:ind w:left="38"/>
              <w:rPr>
                <w:sz w:val="20"/>
                <w:szCs w:val="20"/>
                <w:lang w:eastAsia="es-ES"/>
              </w:rPr>
            </w:pPr>
            <w:r w:rsidRPr="0077205D">
              <w:rPr>
                <w:sz w:val="20"/>
                <w:szCs w:val="20"/>
                <w:lang w:eastAsia="es-ES"/>
              </w:rPr>
              <w:t>Recoverables from reinsurance and SPVs shall not be included in this cell.</w:t>
            </w:r>
          </w:p>
        </w:tc>
      </w:tr>
      <w:tr w:rsidR="00434172" w:rsidRPr="0077205D" w14:paraId="6E677DF0" w14:textId="77777777" w:rsidTr="0010309E">
        <w:trPr>
          <w:trHeight w:val="150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7715538" w14:textId="3E50DAB6" w:rsidR="00434172" w:rsidRPr="0077205D" w:rsidRDefault="00434172" w:rsidP="00434172">
            <w:pPr>
              <w:ind w:left="72"/>
              <w:rPr>
                <w:sz w:val="20"/>
                <w:szCs w:val="20"/>
                <w:lang w:eastAsia="es-ES"/>
              </w:rPr>
            </w:pPr>
            <w:r w:rsidRPr="0077205D">
              <w:rPr>
                <w:sz w:val="20"/>
                <w:szCs w:val="20"/>
                <w:lang w:eastAsia="es-ES"/>
              </w:rPr>
              <w:t>R0413/C0050</w:t>
            </w:r>
          </w:p>
        </w:tc>
        <w:tc>
          <w:tcPr>
            <w:tcW w:w="2585" w:type="dxa"/>
            <w:tcBorders>
              <w:top w:val="single" w:sz="4" w:space="0" w:color="auto"/>
              <w:left w:val="nil"/>
              <w:bottom w:val="single" w:sz="4" w:space="0" w:color="auto"/>
              <w:right w:val="single" w:sz="4" w:space="0" w:color="auto"/>
            </w:tcBorders>
            <w:shd w:val="clear" w:color="auto" w:fill="auto"/>
            <w:hideMark/>
          </w:tcPr>
          <w:p w14:paraId="51DF3E6D" w14:textId="6BE9248A" w:rsidR="00434172" w:rsidRPr="0077205D" w:rsidRDefault="00434172" w:rsidP="0010309E">
            <w:pPr>
              <w:ind w:left="72"/>
              <w:rPr>
                <w:sz w:val="20"/>
                <w:szCs w:val="20"/>
                <w:lang w:eastAsia="es-ES"/>
              </w:rPr>
            </w:pPr>
            <w:r w:rsidRPr="0077205D">
              <w:rPr>
                <w:sz w:val="20"/>
                <w:szCs w:val="20"/>
                <w:lang w:eastAsia="es-ES"/>
              </w:rPr>
              <w:t>Absolute values after shock – Liabilities (after the loss absorbing capacity of technical provisions)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7E9B27F9" w14:textId="72E3918B" w:rsidR="00434172" w:rsidRPr="0077205D" w:rsidRDefault="00434172" w:rsidP="0010309E">
            <w:pPr>
              <w:rPr>
                <w:sz w:val="20"/>
                <w:szCs w:val="20"/>
                <w:lang w:eastAsia="es-ES"/>
              </w:rPr>
            </w:pPr>
            <w:r w:rsidRPr="0077205D">
              <w:rPr>
                <w:sz w:val="20"/>
                <w:szCs w:val="20"/>
                <w:lang w:eastAsia="es-ES"/>
              </w:rPr>
              <w:t>This is the absolute value of the liabilities underlying the spread risk charge for bonds and loans that are qualifying infrastructure corporate investment, after the shock and after the loss absorbing capacity of technical provisions. This value shall be reported only where the split between R0411, R0412 and R0413 could be derived from the method used for the calculation. When the split is not possible only R0410 should be filled in.</w:t>
            </w:r>
          </w:p>
          <w:p w14:paraId="06F13413" w14:textId="21597119" w:rsidR="00434172" w:rsidRPr="0077205D" w:rsidRDefault="00434172" w:rsidP="0010309E">
            <w:pPr>
              <w:ind w:left="38"/>
              <w:rPr>
                <w:sz w:val="20"/>
                <w:szCs w:val="20"/>
                <w:lang w:eastAsia="es-ES"/>
              </w:rPr>
            </w:pPr>
            <w:r w:rsidRPr="0077205D">
              <w:rPr>
                <w:sz w:val="20"/>
                <w:szCs w:val="20"/>
                <w:lang w:eastAsia="es-ES"/>
              </w:rPr>
              <w:t>The amount of TP shall be net of reinsurance and SPV recoverables.</w:t>
            </w:r>
          </w:p>
        </w:tc>
      </w:tr>
      <w:tr w:rsidR="00434172" w:rsidRPr="0077205D" w14:paraId="402DD913" w14:textId="77777777" w:rsidTr="0010309E">
        <w:trPr>
          <w:trHeight w:val="1124"/>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3575381" w14:textId="2ECC7835" w:rsidR="00434172" w:rsidRPr="0077205D" w:rsidRDefault="00434172" w:rsidP="00434172">
            <w:pPr>
              <w:ind w:left="72"/>
              <w:rPr>
                <w:sz w:val="20"/>
                <w:szCs w:val="20"/>
                <w:lang w:eastAsia="es-ES"/>
              </w:rPr>
            </w:pPr>
            <w:r w:rsidRPr="0077205D">
              <w:rPr>
                <w:sz w:val="20"/>
                <w:szCs w:val="20"/>
                <w:lang w:eastAsia="es-ES"/>
              </w:rPr>
              <w:t>R0413/C0060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182B4452" w14:textId="28A932FF" w:rsidR="00434172" w:rsidRPr="0077205D" w:rsidRDefault="00434172" w:rsidP="0010309E">
            <w:pPr>
              <w:ind w:left="72"/>
              <w:rPr>
                <w:sz w:val="20"/>
                <w:szCs w:val="20"/>
                <w:lang w:eastAsia="es-ES"/>
              </w:rPr>
            </w:pPr>
            <w:r w:rsidRPr="0077205D">
              <w:rPr>
                <w:sz w:val="20"/>
                <w:szCs w:val="20"/>
                <w:lang w:eastAsia="es-ES"/>
              </w:rPr>
              <w:t>Absolute value after shock – Net solvency capital requirement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098EB2A8" w14:textId="61C60038" w:rsidR="00434172" w:rsidRPr="0077205D" w:rsidRDefault="00434172" w:rsidP="0010309E">
            <w:pPr>
              <w:rPr>
                <w:sz w:val="20"/>
                <w:szCs w:val="20"/>
                <w:lang w:eastAsia="es-ES"/>
              </w:rPr>
            </w:pPr>
            <w:r w:rsidRPr="0077205D">
              <w:rPr>
                <w:sz w:val="20"/>
                <w:szCs w:val="20"/>
                <w:lang w:eastAsia="es-ES"/>
              </w:rPr>
              <w:t>This is the net capital charge for spread risk on bonds and loans that are qualifying infrastructure corporate investment, after adjustment for the loss absorbing capacity of technical provisions. This value shall be reported only where the split between R0411, R0412 and R0413 could be derived from the method used for the calculation. When the split is not possible only R0410 should be filled in.</w:t>
            </w:r>
          </w:p>
          <w:p w14:paraId="539CC491" w14:textId="426895F9" w:rsidR="00434172" w:rsidRPr="0077205D" w:rsidRDefault="00434172" w:rsidP="0010309E">
            <w:pPr>
              <w:ind w:left="284"/>
              <w:rPr>
                <w:sz w:val="20"/>
                <w:szCs w:val="20"/>
                <w:lang w:eastAsia="es-ES"/>
              </w:rPr>
            </w:pPr>
            <w:r w:rsidRPr="0077205D">
              <w:rPr>
                <w:sz w:val="20"/>
                <w:szCs w:val="20"/>
                <w:lang w:eastAsia="es-ES"/>
              </w:rPr>
              <w:t>If R0010/C0010 = 1, this item should not be reported.</w:t>
            </w:r>
          </w:p>
        </w:tc>
      </w:tr>
      <w:tr w:rsidR="00434172" w:rsidRPr="0077205D" w14:paraId="40B4BF46" w14:textId="77777777" w:rsidTr="0010309E">
        <w:trPr>
          <w:trHeight w:val="157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9ED850B" w14:textId="40FC973F" w:rsidR="00434172" w:rsidRPr="0077205D" w:rsidRDefault="00434172" w:rsidP="00434172">
            <w:pPr>
              <w:ind w:left="72"/>
              <w:rPr>
                <w:sz w:val="20"/>
                <w:szCs w:val="20"/>
                <w:lang w:eastAsia="es-ES"/>
              </w:rPr>
            </w:pPr>
            <w:r w:rsidRPr="0077205D">
              <w:rPr>
                <w:sz w:val="20"/>
                <w:szCs w:val="20"/>
                <w:lang w:eastAsia="es-ES"/>
              </w:rPr>
              <w:t>R0413/C0070</w:t>
            </w:r>
          </w:p>
        </w:tc>
        <w:tc>
          <w:tcPr>
            <w:tcW w:w="2585" w:type="dxa"/>
            <w:tcBorders>
              <w:top w:val="single" w:sz="4" w:space="0" w:color="auto"/>
              <w:left w:val="nil"/>
              <w:bottom w:val="single" w:sz="4" w:space="0" w:color="auto"/>
              <w:right w:val="single" w:sz="4" w:space="0" w:color="auto"/>
            </w:tcBorders>
            <w:shd w:val="clear" w:color="auto" w:fill="auto"/>
            <w:hideMark/>
          </w:tcPr>
          <w:p w14:paraId="6815DA59" w14:textId="3591CEB5" w:rsidR="00434172" w:rsidRPr="0077205D" w:rsidRDefault="00434172" w:rsidP="0010309E">
            <w:pPr>
              <w:ind w:left="72"/>
              <w:rPr>
                <w:sz w:val="20"/>
                <w:szCs w:val="20"/>
                <w:lang w:eastAsia="es-ES"/>
              </w:rPr>
            </w:pPr>
            <w:r w:rsidRPr="0077205D">
              <w:rPr>
                <w:sz w:val="20"/>
                <w:szCs w:val="20"/>
                <w:lang w:eastAsia="es-ES"/>
              </w:rPr>
              <w:t>Absolute values after shock – Liabilities (before the loss absorbing capacity of technical provisions)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23C97077" w14:textId="1085C86C" w:rsidR="00434172" w:rsidRPr="0077205D" w:rsidRDefault="00434172" w:rsidP="0010309E">
            <w:pPr>
              <w:rPr>
                <w:sz w:val="20"/>
                <w:szCs w:val="20"/>
                <w:lang w:eastAsia="es-ES"/>
              </w:rPr>
            </w:pPr>
            <w:r w:rsidRPr="0077205D">
              <w:rPr>
                <w:sz w:val="20"/>
                <w:szCs w:val="20"/>
                <w:lang w:eastAsia="es-ES"/>
              </w:rPr>
              <w:t>This is the absolute value of the liabilities sensitive to the spread risk on bonds and loans that are qualifying infrastructure corporate investment, after the shock but before the loss absorbing capacity of technical provisions. This value shall be reported only where the split between R0411, R0412 and R0413 could be derived from the method used for the calculation. When the split is not possible only R0410 should be filled in.</w:t>
            </w:r>
          </w:p>
          <w:p w14:paraId="34FF4988" w14:textId="01EC5183" w:rsidR="00434172" w:rsidRPr="0077205D" w:rsidRDefault="00434172" w:rsidP="0010309E">
            <w:pPr>
              <w:ind w:left="38"/>
              <w:rPr>
                <w:sz w:val="20"/>
                <w:szCs w:val="20"/>
                <w:lang w:eastAsia="es-ES"/>
              </w:rPr>
            </w:pPr>
            <w:r w:rsidRPr="0077205D">
              <w:rPr>
                <w:sz w:val="20"/>
                <w:szCs w:val="20"/>
                <w:lang w:eastAsia="es-ES"/>
              </w:rPr>
              <w:t>The amount of TP shall be net of reinsurance and SPV recoverables.</w:t>
            </w:r>
          </w:p>
        </w:tc>
      </w:tr>
      <w:tr w:rsidR="00434172" w:rsidRPr="00DF07B0" w14:paraId="6673AB55" w14:textId="77777777" w:rsidTr="0010309E">
        <w:trPr>
          <w:trHeight w:val="95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11AA43D" w14:textId="6CDFD8AB" w:rsidR="00434172" w:rsidRPr="0077205D" w:rsidRDefault="00434172" w:rsidP="00434172">
            <w:pPr>
              <w:ind w:left="72"/>
              <w:rPr>
                <w:sz w:val="20"/>
                <w:szCs w:val="20"/>
                <w:lang w:eastAsia="es-ES"/>
              </w:rPr>
            </w:pPr>
            <w:r w:rsidRPr="0077205D">
              <w:rPr>
                <w:sz w:val="20"/>
                <w:szCs w:val="20"/>
                <w:lang w:eastAsia="es-ES"/>
              </w:rPr>
              <w:t>R0413/C0080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261BA0C3" w14:textId="4F99FB98" w:rsidR="00434172" w:rsidRPr="0077205D" w:rsidRDefault="00434172" w:rsidP="0010309E">
            <w:pPr>
              <w:ind w:left="72"/>
              <w:rPr>
                <w:sz w:val="20"/>
                <w:szCs w:val="20"/>
                <w:lang w:eastAsia="es-ES"/>
              </w:rPr>
            </w:pPr>
            <w:r w:rsidRPr="0077205D">
              <w:rPr>
                <w:sz w:val="20"/>
                <w:szCs w:val="20"/>
                <w:lang w:eastAsia="es-ES"/>
              </w:rPr>
              <w:t>Absolute value after shock – Gross solvency capital requirement – Spread risk  – bonds and loans (qualifying infrastructure corporate investment)</w:t>
            </w:r>
          </w:p>
        </w:tc>
        <w:tc>
          <w:tcPr>
            <w:tcW w:w="5120" w:type="dxa"/>
            <w:tcBorders>
              <w:top w:val="single" w:sz="4" w:space="0" w:color="auto"/>
              <w:left w:val="single" w:sz="4" w:space="0" w:color="auto"/>
              <w:bottom w:val="single" w:sz="4" w:space="0" w:color="auto"/>
              <w:right w:val="single" w:sz="4" w:space="0" w:color="auto"/>
            </w:tcBorders>
            <w:shd w:val="clear" w:color="auto" w:fill="auto"/>
            <w:hideMark/>
          </w:tcPr>
          <w:p w14:paraId="1459434D" w14:textId="370075F7" w:rsidR="00434172" w:rsidRPr="0077205D" w:rsidRDefault="00434172" w:rsidP="0010309E">
            <w:pPr>
              <w:rPr>
                <w:sz w:val="20"/>
                <w:szCs w:val="20"/>
                <w:lang w:eastAsia="es-ES"/>
              </w:rPr>
            </w:pPr>
            <w:r w:rsidRPr="0077205D">
              <w:rPr>
                <w:sz w:val="20"/>
                <w:szCs w:val="20"/>
                <w:lang w:eastAsia="es-ES"/>
              </w:rPr>
              <w:t>This is the gross capital charge for spread risk on bonds and loans that are qualifying infrastructure corporate investment, i.e. before the loss absorbing capacity of technical provisions. This value shall be reported only where the split between R0411, R0412 and R0413 could be derived from the method used for the calculation. When the split is not possible only R0410 should be filled in.</w:t>
            </w:r>
          </w:p>
          <w:p w14:paraId="0CF32233" w14:textId="3F778B28" w:rsidR="00434172" w:rsidRPr="0077205D" w:rsidRDefault="00434172" w:rsidP="0010309E">
            <w:pPr>
              <w:ind w:left="38"/>
              <w:rPr>
                <w:sz w:val="20"/>
                <w:szCs w:val="20"/>
                <w:lang w:eastAsia="es-ES"/>
              </w:rPr>
            </w:pPr>
            <w:r w:rsidRPr="0077205D">
              <w:rPr>
                <w:sz w:val="20"/>
                <w:szCs w:val="20"/>
                <w:lang w:eastAsia="es-ES"/>
              </w:rPr>
              <w:t>If R0010/C0010 = 1, this item should not be reported.</w:t>
            </w:r>
          </w:p>
        </w:tc>
      </w:tr>
    </w:tbl>
    <w:p w14:paraId="4FF5E6FB" w14:textId="77777777" w:rsidR="00434172" w:rsidRDefault="00434172" w:rsidP="00AA6B2D">
      <w:pPr>
        <w:pStyle w:val="Luettelokappale"/>
        <w:ind w:left="284"/>
        <w:jc w:val="both"/>
      </w:pPr>
    </w:p>
    <w:p w14:paraId="3F513942" w14:textId="0B6A2C45" w:rsidR="00434172" w:rsidRPr="0077205D" w:rsidRDefault="00434172" w:rsidP="00A35DEA">
      <w:pPr>
        <w:pStyle w:val="Luettelokappale"/>
        <w:numPr>
          <w:ilvl w:val="0"/>
          <w:numId w:val="29"/>
        </w:numPr>
        <w:ind w:left="993" w:hanging="709"/>
      </w:pPr>
      <w:r w:rsidRPr="0077205D">
        <w:t xml:space="preserve">In template S.26.01 </w:t>
      </w:r>
      <w:r w:rsidR="00A35DEA" w:rsidRPr="0077205D">
        <w:t xml:space="preserve">in </w:t>
      </w:r>
      <w:r w:rsidRPr="0077205D">
        <w:t xml:space="preserve">the instructions </w:t>
      </w:r>
      <w:r w:rsidR="00A35DEA" w:rsidRPr="0077205D">
        <w:t xml:space="preserve">regarding R0411/C0020 to R0411/C0080 the expression “qualifying infrastructure investment” is </w:t>
      </w:r>
      <w:commentRangeStart w:id="20"/>
      <w:r w:rsidR="00A35DEA" w:rsidRPr="0077205D">
        <w:t xml:space="preserve">replaced by </w:t>
      </w:r>
      <w:commentRangeEnd w:id="20"/>
      <w:r w:rsidR="0077205D">
        <w:rPr>
          <w:rStyle w:val="Kommentinviite"/>
          <w:lang w:eastAsia="pt-PT"/>
        </w:rPr>
        <w:commentReference w:id="20"/>
      </w:r>
      <w:r w:rsidR="00A35DEA" w:rsidRPr="0077205D">
        <w:t>“qualifying investment infrastructure other than infrastructure corporate”</w:t>
      </w:r>
      <w:r w:rsidR="0077205D">
        <w:t>.;</w:t>
      </w:r>
      <w:r w:rsidRPr="0077205D">
        <w:t xml:space="preserve"> </w:t>
      </w:r>
    </w:p>
    <w:p w14:paraId="38F01202" w14:textId="77777777" w:rsidR="00A35DEA" w:rsidRPr="0077205D" w:rsidRDefault="00A35DEA" w:rsidP="00A35DEA">
      <w:pPr>
        <w:pStyle w:val="Luettelokappale"/>
        <w:ind w:left="993"/>
      </w:pPr>
    </w:p>
    <w:p w14:paraId="2DC53EC7" w14:textId="00AD5E2F" w:rsidR="00A35DEA" w:rsidRPr="0077205D" w:rsidRDefault="00A35DEA" w:rsidP="00A35DEA">
      <w:pPr>
        <w:pStyle w:val="Luettelokappale"/>
        <w:numPr>
          <w:ilvl w:val="0"/>
          <w:numId w:val="29"/>
        </w:numPr>
        <w:ind w:left="993" w:hanging="709"/>
      </w:pPr>
      <w:r w:rsidRPr="0077205D">
        <w:t xml:space="preserve">In template S.26.01 in the instructions regarding R0412/C0020 to R0412/C0080 the expression “other than qualifying infrastructure investment” is </w:t>
      </w:r>
      <w:commentRangeStart w:id="21"/>
      <w:r w:rsidRPr="0077205D">
        <w:t xml:space="preserve">replaced by </w:t>
      </w:r>
      <w:commentRangeEnd w:id="21"/>
      <w:r w:rsidR="0077205D">
        <w:rPr>
          <w:rStyle w:val="Kommentinviite"/>
          <w:lang w:eastAsia="pt-PT"/>
        </w:rPr>
        <w:commentReference w:id="21"/>
      </w:r>
      <w:r w:rsidRPr="0077205D">
        <w:t>“other than qualifying investment infrastructur</w:t>
      </w:r>
      <w:r w:rsidR="0077205D">
        <w:t>e and infrastructure corporate”.;</w:t>
      </w:r>
    </w:p>
    <w:p w14:paraId="6ACE9CFC" w14:textId="77777777" w:rsidR="000E2D11" w:rsidRDefault="000E2D11" w:rsidP="00A31EE8">
      <w:pPr>
        <w:pStyle w:val="Luettelokappale"/>
        <w:ind w:left="993"/>
        <w:jc w:val="both"/>
      </w:pPr>
    </w:p>
    <w:p w14:paraId="5BB2AE55" w14:textId="5423B8F0" w:rsidR="008C3C02" w:rsidRPr="00853F24" w:rsidRDefault="008C3C02" w:rsidP="00883490">
      <w:pPr>
        <w:pStyle w:val="Luettelokappale"/>
        <w:numPr>
          <w:ilvl w:val="0"/>
          <w:numId w:val="17"/>
        </w:numPr>
        <w:jc w:val="both"/>
      </w:pPr>
      <w:r w:rsidRPr="00A02C05">
        <w:t xml:space="preserve">Annex II to Implementing Regulation (EU) 2015/2450 is </w:t>
      </w:r>
      <w:r w:rsidR="00853F24" w:rsidRPr="00A02C05">
        <w:t>amended</w:t>
      </w:r>
      <w:r w:rsidRPr="00A02C05">
        <w:t xml:space="preserve"> as follows:</w:t>
      </w:r>
    </w:p>
    <w:p w14:paraId="514E5DA5" w14:textId="77777777" w:rsidR="00D32EA8" w:rsidRDefault="00D32EA8" w:rsidP="00DE7286">
      <w:pPr>
        <w:pStyle w:val="Luettelokappale"/>
        <w:ind w:left="993"/>
        <w:jc w:val="both"/>
      </w:pPr>
    </w:p>
    <w:p w14:paraId="671D4E57" w14:textId="0320C35D" w:rsidR="00951E1D" w:rsidRDefault="00951E1D" w:rsidP="00FE73B5">
      <w:pPr>
        <w:pStyle w:val="Luettelokappale"/>
        <w:numPr>
          <w:ilvl w:val="0"/>
          <w:numId w:val="14"/>
        </w:numPr>
        <w:ind w:left="993" w:hanging="709"/>
      </w:pPr>
      <w:r w:rsidRPr="00FE73B5">
        <w:t>In template S.04.01</w:t>
      </w:r>
      <w:r w:rsidR="00546DD8" w:rsidRPr="00FE73B5">
        <w:t xml:space="preserve"> in the instructions fo</w:t>
      </w:r>
      <w:r w:rsidR="00546DD8">
        <w:t>r</w:t>
      </w:r>
      <w:r w:rsidR="00546DD8" w:rsidRPr="00FE73B5">
        <w:t xml:space="preserve"> column C0010 the following is deleted from the last sentence: “different from the home </w:t>
      </w:r>
      <w:commentRangeStart w:id="22"/>
      <w:r w:rsidR="00546DD8" w:rsidRPr="00FE73B5">
        <w:t>country</w:t>
      </w:r>
      <w:commentRangeEnd w:id="22"/>
      <w:r w:rsidR="00546DD8">
        <w:rPr>
          <w:rStyle w:val="Kommentinviite"/>
          <w:lang w:eastAsia="pt-PT"/>
        </w:rPr>
        <w:commentReference w:id="22"/>
      </w:r>
      <w:r w:rsidR="00546DD8" w:rsidRPr="00FE73B5">
        <w:t>”</w:t>
      </w:r>
      <w:r w:rsidR="00546DD8">
        <w:t>;</w:t>
      </w:r>
    </w:p>
    <w:p w14:paraId="53B4B8D8" w14:textId="77777777" w:rsidR="00546DD8" w:rsidRDefault="00546DD8" w:rsidP="00FE73B5">
      <w:pPr>
        <w:pStyle w:val="Luettelokappale"/>
        <w:ind w:left="993"/>
      </w:pPr>
    </w:p>
    <w:p w14:paraId="148469A9" w14:textId="49D7FA27" w:rsidR="00546DD8" w:rsidRDefault="00546DD8" w:rsidP="00546DD8">
      <w:pPr>
        <w:pStyle w:val="Luettelokappale"/>
        <w:numPr>
          <w:ilvl w:val="0"/>
          <w:numId w:val="14"/>
        </w:numPr>
        <w:ind w:left="993" w:hanging="709"/>
      </w:pPr>
      <w:r w:rsidRPr="00BD228A">
        <w:t>In template S.04.01 in the instructions fo</w:t>
      </w:r>
      <w:r>
        <w:t>r</w:t>
      </w:r>
      <w:r w:rsidRPr="00BD228A">
        <w:t xml:space="preserve"> column C00</w:t>
      </w:r>
      <w:r>
        <w:t>6</w:t>
      </w:r>
      <w:r w:rsidRPr="00BD228A">
        <w:t xml:space="preserve">0 </w:t>
      </w:r>
      <w:r>
        <w:t>the last sentence is rep</w:t>
      </w:r>
      <w:r w:rsidR="005A5145">
        <w:t>l</w:t>
      </w:r>
      <w:r>
        <w:t>a</w:t>
      </w:r>
      <w:r w:rsidR="005A5145">
        <w:t>c</w:t>
      </w:r>
      <w:r>
        <w:t xml:space="preserve">ed by the following: </w:t>
      </w:r>
    </w:p>
    <w:p w14:paraId="586FF4F0" w14:textId="4B3AABA7" w:rsidR="00546DD8" w:rsidRDefault="00546DD8" w:rsidP="00FE73B5">
      <w:pPr>
        <w:pStyle w:val="Luettelokappale"/>
        <w:ind w:left="993"/>
      </w:pPr>
      <w:r w:rsidRPr="00FE73B5">
        <w:t xml:space="preserve">“This shall be the sum of C0100 for the undertaking and all </w:t>
      </w:r>
      <w:commentRangeStart w:id="23"/>
      <w:r w:rsidRPr="00FE73B5">
        <w:t>branches</w:t>
      </w:r>
      <w:commentRangeEnd w:id="23"/>
      <w:r w:rsidRPr="00FE73B5">
        <w:commentReference w:id="23"/>
      </w:r>
      <w:r w:rsidRPr="00FE73B5">
        <w:t>.”</w:t>
      </w:r>
    </w:p>
    <w:p w14:paraId="2A7C1A85" w14:textId="77777777" w:rsidR="00951E1D" w:rsidRDefault="00951E1D" w:rsidP="00016327">
      <w:pPr>
        <w:pStyle w:val="Luettelokappale"/>
        <w:ind w:left="993"/>
      </w:pPr>
    </w:p>
    <w:p w14:paraId="3A0780E6" w14:textId="44A5C100" w:rsidR="00C912C6" w:rsidRDefault="00C912C6" w:rsidP="009A52E1">
      <w:pPr>
        <w:pStyle w:val="Luettelokappale"/>
        <w:numPr>
          <w:ilvl w:val="0"/>
          <w:numId w:val="14"/>
        </w:numPr>
        <w:ind w:left="993" w:hanging="709"/>
        <w:jc w:val="both"/>
      </w:pPr>
      <w:r w:rsidRPr="00BD228A">
        <w:t>In template S.</w:t>
      </w:r>
      <w:r>
        <w:t>12</w:t>
      </w:r>
      <w:r w:rsidRPr="00BD228A">
        <w:t>.01 the instructions fo</w:t>
      </w:r>
      <w:r>
        <w:t>r</w:t>
      </w:r>
      <w:r w:rsidRPr="00BD228A">
        <w:t xml:space="preserve"> column </w:t>
      </w:r>
      <w:r w:rsidRPr="009A52E1">
        <w:t>C0020, C0030, C0060, C0090,  C0160, C0190/R0220</w:t>
      </w:r>
      <w:r w:rsidRPr="00BD228A">
        <w:t xml:space="preserve"> </w:t>
      </w:r>
      <w:r w:rsidR="009A52E1">
        <w:t xml:space="preserve">are replaced </w:t>
      </w:r>
      <w:r>
        <w:t xml:space="preserve">by the </w:t>
      </w:r>
      <w:commentRangeStart w:id="24"/>
      <w:r>
        <w:t>following</w:t>
      </w:r>
      <w:commentRangeEnd w:id="24"/>
      <w:r w:rsidR="009A52E1">
        <w:rPr>
          <w:rStyle w:val="Kommentinviite"/>
          <w:lang w:eastAsia="pt-PT"/>
        </w:rPr>
        <w:commentReference w:id="24"/>
      </w:r>
      <w:r>
        <w:t xml:space="preserve">: </w:t>
      </w:r>
    </w:p>
    <w:p w14:paraId="45886E3B" w14:textId="77777777" w:rsidR="00C912C6" w:rsidRDefault="00C912C6" w:rsidP="00C912C6">
      <w:pPr>
        <w:pStyle w:val="Luettelokappale"/>
        <w:ind w:left="993"/>
      </w:pPr>
    </w:p>
    <w:tbl>
      <w:tblPr>
        <w:tblW w:w="8646" w:type="dxa"/>
        <w:tblInd w:w="1063" w:type="dxa"/>
        <w:tblCellMar>
          <w:left w:w="70" w:type="dxa"/>
          <w:right w:w="70" w:type="dxa"/>
        </w:tblCellMar>
        <w:tblLook w:val="04A0" w:firstRow="1" w:lastRow="0" w:firstColumn="1" w:lastColumn="0" w:noHBand="0" w:noVBand="1"/>
      </w:tblPr>
      <w:tblGrid>
        <w:gridCol w:w="2352"/>
        <w:gridCol w:w="2467"/>
        <w:gridCol w:w="3827"/>
      </w:tblGrid>
      <w:tr w:rsidR="00C912C6" w:rsidRPr="00DF07B0" w14:paraId="3022728D" w14:textId="77777777" w:rsidTr="009A52E1">
        <w:trPr>
          <w:trHeight w:val="487"/>
        </w:trPr>
        <w:tc>
          <w:tcPr>
            <w:tcW w:w="2352" w:type="dxa"/>
            <w:tcBorders>
              <w:top w:val="single" w:sz="4" w:space="0" w:color="auto"/>
              <w:left w:val="single" w:sz="4" w:space="0" w:color="auto"/>
              <w:bottom w:val="single" w:sz="4" w:space="0" w:color="auto"/>
              <w:right w:val="single" w:sz="4" w:space="0" w:color="auto"/>
            </w:tcBorders>
            <w:shd w:val="clear" w:color="000000" w:fill="FFFFFF"/>
            <w:hideMark/>
          </w:tcPr>
          <w:p w14:paraId="71D0EED4" w14:textId="7FAA85CE" w:rsidR="00C912C6" w:rsidRPr="009A52E1" w:rsidRDefault="00C912C6" w:rsidP="00C912C6">
            <w:pPr>
              <w:rPr>
                <w:sz w:val="20"/>
                <w:lang w:val="pt-PT"/>
              </w:rPr>
            </w:pPr>
            <w:r w:rsidRPr="009A52E1">
              <w:rPr>
                <w:sz w:val="20"/>
                <w:lang w:val="pt-PT"/>
              </w:rPr>
              <w:t>C0020, C0030, C0060, C0090, C0100, C0160, C0190, /R0220</w:t>
            </w:r>
          </w:p>
        </w:tc>
        <w:tc>
          <w:tcPr>
            <w:tcW w:w="2467" w:type="dxa"/>
            <w:tcBorders>
              <w:top w:val="single" w:sz="4" w:space="0" w:color="auto"/>
              <w:left w:val="nil"/>
              <w:bottom w:val="single" w:sz="4" w:space="0" w:color="auto"/>
              <w:right w:val="single" w:sz="4" w:space="0" w:color="auto"/>
            </w:tcBorders>
            <w:shd w:val="clear" w:color="000000" w:fill="FFFFFF"/>
            <w:hideMark/>
          </w:tcPr>
          <w:p w14:paraId="77673AD7" w14:textId="77777777" w:rsidR="00C912C6" w:rsidRPr="009A52E1" w:rsidRDefault="00C912C6" w:rsidP="00C912C6">
            <w:pPr>
              <w:rPr>
                <w:sz w:val="20"/>
                <w:lang w:val="en-US"/>
              </w:rPr>
            </w:pPr>
            <w:r w:rsidRPr="009A52E1">
              <w:rPr>
                <w:sz w:val="20"/>
                <w:lang w:val="en-US"/>
              </w:rPr>
              <w:t xml:space="preserve">Best Estimate of products with a surrender option </w:t>
            </w:r>
          </w:p>
        </w:tc>
        <w:tc>
          <w:tcPr>
            <w:tcW w:w="3827" w:type="dxa"/>
            <w:tcBorders>
              <w:top w:val="single" w:sz="4" w:space="0" w:color="auto"/>
              <w:left w:val="nil"/>
              <w:bottom w:val="single" w:sz="4" w:space="0" w:color="auto"/>
              <w:right w:val="single" w:sz="4" w:space="0" w:color="auto"/>
            </w:tcBorders>
            <w:shd w:val="clear" w:color="000000" w:fill="FFFFFF"/>
            <w:hideMark/>
          </w:tcPr>
          <w:p w14:paraId="4E4945A9" w14:textId="13F347A4" w:rsidR="00C912C6" w:rsidRDefault="00C912C6" w:rsidP="00C912C6">
            <w:pPr>
              <w:rPr>
                <w:sz w:val="20"/>
                <w:lang w:val="en-US"/>
              </w:rPr>
            </w:pPr>
            <w:r w:rsidRPr="009A52E1">
              <w:rPr>
                <w:sz w:val="20"/>
                <w:lang w:val="en-US"/>
              </w:rPr>
              <w:t xml:space="preserve">Amount of gross Best Estimate of products with a surrender option per each </w:t>
            </w:r>
            <w:r w:rsidRPr="009A52E1">
              <w:rPr>
                <w:sz w:val="20"/>
                <w:szCs w:val="20"/>
                <w:lang w:eastAsia="es-ES"/>
              </w:rPr>
              <w:t>line of business, as defined in Annex I to Delegated Regulation (EU) 2015/35</w:t>
            </w:r>
            <w:r w:rsidRPr="009A52E1">
              <w:rPr>
                <w:sz w:val="20"/>
                <w:lang w:val="en-US"/>
              </w:rPr>
              <w:t>.</w:t>
            </w:r>
          </w:p>
          <w:p w14:paraId="77101FB0" w14:textId="77777777" w:rsidR="00D568C7" w:rsidRPr="009A52E1" w:rsidRDefault="00D568C7" w:rsidP="00C912C6">
            <w:pPr>
              <w:rPr>
                <w:sz w:val="20"/>
                <w:lang w:val="en-US"/>
              </w:rPr>
            </w:pPr>
          </w:p>
          <w:p w14:paraId="6C025276" w14:textId="77777777" w:rsidR="00C912C6" w:rsidRPr="00DF07B0" w:rsidRDefault="00C912C6" w:rsidP="00C912C6">
            <w:pPr>
              <w:rPr>
                <w:sz w:val="20"/>
                <w:lang w:val="en-US"/>
              </w:rPr>
            </w:pPr>
            <w:r w:rsidRPr="009A52E1">
              <w:rPr>
                <w:sz w:val="20"/>
                <w:lang w:val="en-US"/>
              </w:rPr>
              <w:t>This amount shall also be included in R0030 to R0090.</w:t>
            </w:r>
          </w:p>
        </w:tc>
      </w:tr>
    </w:tbl>
    <w:p w14:paraId="660F3E2B" w14:textId="77777777" w:rsidR="00C912C6" w:rsidRPr="00C912C6" w:rsidRDefault="00C912C6" w:rsidP="00C912C6">
      <w:pPr>
        <w:pStyle w:val="Luettelokappale"/>
        <w:ind w:left="993"/>
      </w:pPr>
    </w:p>
    <w:p w14:paraId="6E89956C" w14:textId="0AD66399" w:rsidR="009A52E1" w:rsidRPr="0077205D" w:rsidRDefault="009A52E1" w:rsidP="00B57666">
      <w:pPr>
        <w:pStyle w:val="Luettelokappale"/>
        <w:numPr>
          <w:ilvl w:val="0"/>
          <w:numId w:val="14"/>
        </w:numPr>
        <w:ind w:left="993" w:hanging="709"/>
      </w:pPr>
      <w:r w:rsidRPr="00BD228A">
        <w:t>In template S.</w:t>
      </w:r>
      <w:r>
        <w:t>12</w:t>
      </w:r>
      <w:r w:rsidRPr="00BD228A">
        <w:t xml:space="preserve">.01 </w:t>
      </w:r>
      <w:r w:rsidRPr="0077205D">
        <w:t xml:space="preserve">the following instructions are added after the instructions for </w:t>
      </w:r>
      <w:r w:rsidRPr="009A52E1">
        <w:t>C0030, C0060, C0090, C0160, C0190, C0200/R0230</w:t>
      </w:r>
      <w:r w:rsidRPr="0077205D">
        <w:t xml:space="preserve">: </w:t>
      </w:r>
    </w:p>
    <w:p w14:paraId="54F2F1AD" w14:textId="77777777" w:rsidR="00C912C6" w:rsidRPr="009A52E1" w:rsidRDefault="00C912C6" w:rsidP="00C912C6">
      <w:pPr>
        <w:pStyle w:val="Luettelokappale"/>
        <w:ind w:left="993"/>
      </w:pPr>
    </w:p>
    <w:tbl>
      <w:tblPr>
        <w:tblW w:w="8646" w:type="dxa"/>
        <w:tblInd w:w="1063" w:type="dxa"/>
        <w:tblCellMar>
          <w:left w:w="70" w:type="dxa"/>
          <w:right w:w="70" w:type="dxa"/>
        </w:tblCellMar>
        <w:tblLook w:val="04A0" w:firstRow="1" w:lastRow="0" w:firstColumn="1" w:lastColumn="0" w:noHBand="0" w:noVBand="1"/>
      </w:tblPr>
      <w:tblGrid>
        <w:gridCol w:w="2352"/>
        <w:gridCol w:w="2609"/>
        <w:gridCol w:w="3685"/>
      </w:tblGrid>
      <w:tr w:rsidR="00C912C6" w:rsidRPr="00DF07B0" w14:paraId="79E9D5F6" w14:textId="77777777" w:rsidTr="009A52E1">
        <w:trPr>
          <w:trHeight w:val="836"/>
        </w:trPr>
        <w:tc>
          <w:tcPr>
            <w:tcW w:w="2352" w:type="dxa"/>
            <w:tcBorders>
              <w:top w:val="nil"/>
              <w:left w:val="single" w:sz="4" w:space="0" w:color="auto"/>
              <w:bottom w:val="single" w:sz="4" w:space="0" w:color="auto"/>
              <w:right w:val="single" w:sz="4" w:space="0" w:color="auto"/>
            </w:tcBorders>
            <w:shd w:val="clear" w:color="000000" w:fill="FFFFFF"/>
            <w:hideMark/>
          </w:tcPr>
          <w:p w14:paraId="5EF5427D" w14:textId="18196F6E" w:rsidR="00C912C6" w:rsidRPr="00DF07B0" w:rsidRDefault="00C912C6" w:rsidP="00C912C6">
            <w:pPr>
              <w:rPr>
                <w:sz w:val="20"/>
              </w:rPr>
            </w:pPr>
            <w:r w:rsidRPr="00DF07B0">
              <w:rPr>
                <w:sz w:val="20"/>
              </w:rPr>
              <w:t>C0150/</w:t>
            </w:r>
            <w:commentRangeStart w:id="25"/>
            <w:r w:rsidRPr="00DF07B0">
              <w:rPr>
                <w:sz w:val="20"/>
              </w:rPr>
              <w:t>R02</w:t>
            </w:r>
            <w:r>
              <w:rPr>
                <w:sz w:val="20"/>
              </w:rPr>
              <w:t>3</w:t>
            </w:r>
            <w:r w:rsidRPr="00DF07B0">
              <w:rPr>
                <w:sz w:val="20"/>
              </w:rPr>
              <w:t>0</w:t>
            </w:r>
            <w:commentRangeEnd w:id="25"/>
            <w:r>
              <w:rPr>
                <w:rStyle w:val="Kommentinviite"/>
                <w:lang w:eastAsia="pt-PT"/>
              </w:rPr>
              <w:commentReference w:id="25"/>
            </w:r>
          </w:p>
        </w:tc>
        <w:tc>
          <w:tcPr>
            <w:tcW w:w="2609" w:type="dxa"/>
            <w:tcBorders>
              <w:top w:val="nil"/>
              <w:left w:val="nil"/>
              <w:bottom w:val="single" w:sz="4" w:space="0" w:color="auto"/>
              <w:right w:val="single" w:sz="4" w:space="0" w:color="auto"/>
            </w:tcBorders>
            <w:shd w:val="clear" w:color="000000" w:fill="FFFFFF"/>
            <w:hideMark/>
          </w:tcPr>
          <w:p w14:paraId="020497CC" w14:textId="63239D23" w:rsidR="00C912C6" w:rsidRPr="00DF07B0" w:rsidRDefault="00C912C6" w:rsidP="00C912C6">
            <w:pPr>
              <w:rPr>
                <w:sz w:val="20"/>
              </w:rPr>
            </w:pPr>
            <w:r w:rsidRPr="00DF07B0">
              <w:rPr>
                <w:sz w:val="20"/>
                <w:lang w:val="en-US"/>
              </w:rPr>
              <w:t xml:space="preserve">Gross Best Estimate for Cash flow, Cash out–flow, Future guaranteed and discretionary benefits – Total (Life other than health insurance, including </w:t>
            </w:r>
            <w:r w:rsidRPr="00DF07B0">
              <w:rPr>
                <w:sz w:val="20"/>
              </w:rPr>
              <w:t>Unit–Linked)</w:t>
            </w:r>
          </w:p>
        </w:tc>
        <w:tc>
          <w:tcPr>
            <w:tcW w:w="3685" w:type="dxa"/>
            <w:tcBorders>
              <w:top w:val="nil"/>
              <w:left w:val="nil"/>
              <w:bottom w:val="single" w:sz="4" w:space="0" w:color="auto"/>
              <w:right w:val="single" w:sz="4" w:space="0" w:color="auto"/>
            </w:tcBorders>
            <w:shd w:val="clear" w:color="000000" w:fill="FFFFFF"/>
            <w:hideMark/>
          </w:tcPr>
          <w:p w14:paraId="05400D2F" w14:textId="0C44E91F" w:rsidR="00C912C6" w:rsidRPr="00DF07B0" w:rsidRDefault="00C912C6" w:rsidP="00C912C6">
            <w:pPr>
              <w:rPr>
                <w:sz w:val="20"/>
              </w:rPr>
            </w:pPr>
            <w:r w:rsidRPr="00DF07B0">
              <w:rPr>
                <w:sz w:val="20"/>
                <w:lang w:val="en-US"/>
              </w:rPr>
              <w:t>Total amount of discounted Cash out–flows (payments to policyholders and beneficiaries) for future guaranteed benefits and for future discretionary benefits</w:t>
            </w:r>
            <w:r>
              <w:rPr>
                <w:sz w:val="20"/>
                <w:szCs w:val="20"/>
                <w:lang w:eastAsia="es-ES"/>
              </w:rPr>
              <w:t xml:space="preserve"> </w:t>
            </w:r>
            <w:r w:rsidRPr="00DF07B0">
              <w:rPr>
                <w:sz w:val="20"/>
                <w:lang w:val="en-US"/>
              </w:rPr>
              <w:t xml:space="preserve">for Life other than health insurance, including </w:t>
            </w:r>
            <w:r w:rsidRPr="00DF07B0">
              <w:rPr>
                <w:sz w:val="20"/>
              </w:rPr>
              <w:t>Unit–Linked.</w:t>
            </w:r>
          </w:p>
          <w:p w14:paraId="05466DAA" w14:textId="6D371C80" w:rsidR="00C912C6" w:rsidRPr="00D568C7" w:rsidRDefault="00C912C6" w:rsidP="00C912C6">
            <w:pPr>
              <w:rPr>
                <w:sz w:val="20"/>
              </w:rPr>
            </w:pPr>
          </w:p>
        </w:tc>
      </w:tr>
      <w:tr w:rsidR="00C912C6" w:rsidRPr="00DF07B0" w14:paraId="1A5BF5D7" w14:textId="77777777" w:rsidTr="009A52E1">
        <w:trPr>
          <w:trHeight w:val="1111"/>
        </w:trPr>
        <w:tc>
          <w:tcPr>
            <w:tcW w:w="2352" w:type="dxa"/>
            <w:tcBorders>
              <w:top w:val="nil"/>
              <w:left w:val="single" w:sz="4" w:space="0" w:color="auto"/>
              <w:bottom w:val="single" w:sz="4" w:space="0" w:color="auto"/>
              <w:right w:val="single" w:sz="4" w:space="0" w:color="auto"/>
            </w:tcBorders>
            <w:shd w:val="clear" w:color="000000" w:fill="FFFFFF"/>
            <w:hideMark/>
          </w:tcPr>
          <w:p w14:paraId="1AC23452" w14:textId="4FB09C6F" w:rsidR="00C912C6" w:rsidRPr="00DF07B0" w:rsidRDefault="00C912C6" w:rsidP="00C912C6">
            <w:pPr>
              <w:rPr>
                <w:sz w:val="20"/>
              </w:rPr>
            </w:pPr>
            <w:r w:rsidRPr="00DF07B0">
              <w:rPr>
                <w:sz w:val="20"/>
              </w:rPr>
              <w:t>C0210/</w:t>
            </w:r>
            <w:commentRangeStart w:id="26"/>
            <w:r w:rsidRPr="00DF07B0">
              <w:rPr>
                <w:sz w:val="20"/>
              </w:rPr>
              <w:t>R02</w:t>
            </w:r>
            <w:r>
              <w:rPr>
                <w:sz w:val="20"/>
              </w:rPr>
              <w:t>3</w:t>
            </w:r>
            <w:r w:rsidRPr="00DF07B0">
              <w:rPr>
                <w:sz w:val="20"/>
              </w:rPr>
              <w:t>0</w:t>
            </w:r>
            <w:commentRangeEnd w:id="26"/>
            <w:r>
              <w:rPr>
                <w:rStyle w:val="Kommentinviite"/>
                <w:lang w:eastAsia="pt-PT"/>
              </w:rPr>
              <w:commentReference w:id="26"/>
            </w:r>
          </w:p>
        </w:tc>
        <w:tc>
          <w:tcPr>
            <w:tcW w:w="2609" w:type="dxa"/>
            <w:tcBorders>
              <w:top w:val="nil"/>
              <w:left w:val="nil"/>
              <w:bottom w:val="single" w:sz="4" w:space="0" w:color="auto"/>
              <w:right w:val="single" w:sz="4" w:space="0" w:color="auto"/>
            </w:tcBorders>
            <w:shd w:val="clear" w:color="000000" w:fill="FFFFFF"/>
            <w:hideMark/>
          </w:tcPr>
          <w:p w14:paraId="275DF473" w14:textId="69B6019F" w:rsidR="00C912C6" w:rsidRPr="00DF07B0" w:rsidRDefault="00C912C6" w:rsidP="00C912C6">
            <w:pPr>
              <w:rPr>
                <w:sz w:val="20"/>
                <w:lang w:val="en-US"/>
              </w:rPr>
            </w:pPr>
            <w:r w:rsidRPr="00DF07B0">
              <w:rPr>
                <w:sz w:val="20"/>
                <w:lang w:val="en-US"/>
              </w:rPr>
              <w:t>Gross Best Estimate for Cash flow, Cash out–flow, Future guaranteed and discretionary benefits – Total (Health similar to life insurance)</w:t>
            </w:r>
          </w:p>
        </w:tc>
        <w:tc>
          <w:tcPr>
            <w:tcW w:w="3685" w:type="dxa"/>
            <w:tcBorders>
              <w:top w:val="nil"/>
              <w:left w:val="nil"/>
              <w:bottom w:val="single" w:sz="4" w:space="0" w:color="auto"/>
              <w:right w:val="single" w:sz="4" w:space="0" w:color="auto"/>
            </w:tcBorders>
            <w:shd w:val="clear" w:color="000000" w:fill="FFFFFF"/>
            <w:hideMark/>
          </w:tcPr>
          <w:p w14:paraId="5A779E44" w14:textId="5C4FD136" w:rsidR="00C912C6" w:rsidRPr="00DF07B0" w:rsidRDefault="00C912C6" w:rsidP="00C912C6">
            <w:pPr>
              <w:rPr>
                <w:sz w:val="20"/>
                <w:lang w:val="en-US"/>
              </w:rPr>
            </w:pPr>
            <w:r w:rsidRPr="00DF07B0">
              <w:rPr>
                <w:sz w:val="20"/>
                <w:lang w:val="en-US"/>
              </w:rPr>
              <w:t>Total amount of discounted Cash out–flows (payments to policyholders and beneficiaries) for future guaranteed benefits and for future discretionary benefits for Health similar to life insurance.</w:t>
            </w:r>
          </w:p>
          <w:p w14:paraId="39FF8346" w14:textId="1572CDF3" w:rsidR="00C912C6" w:rsidRPr="00DF07B0" w:rsidRDefault="00C912C6" w:rsidP="00C912C6">
            <w:pPr>
              <w:rPr>
                <w:sz w:val="20"/>
              </w:rPr>
            </w:pPr>
          </w:p>
        </w:tc>
      </w:tr>
    </w:tbl>
    <w:p w14:paraId="2EE99DA5" w14:textId="77777777" w:rsidR="00C912C6" w:rsidRPr="00C912C6" w:rsidRDefault="00C912C6" w:rsidP="00C912C6">
      <w:pPr>
        <w:pStyle w:val="Luettelokappale"/>
        <w:ind w:left="993"/>
      </w:pPr>
    </w:p>
    <w:p w14:paraId="2041550D" w14:textId="7B7391CF" w:rsidR="009A52E1" w:rsidRPr="0077205D" w:rsidRDefault="009A52E1" w:rsidP="00B57666">
      <w:pPr>
        <w:pStyle w:val="Luettelokappale"/>
        <w:numPr>
          <w:ilvl w:val="0"/>
          <w:numId w:val="14"/>
        </w:numPr>
        <w:ind w:left="993" w:hanging="709"/>
      </w:pPr>
      <w:r w:rsidRPr="00BD228A">
        <w:t>In template S.</w:t>
      </w:r>
      <w:r>
        <w:t>12</w:t>
      </w:r>
      <w:r w:rsidRPr="00BD228A">
        <w:t xml:space="preserve">.01 </w:t>
      </w:r>
      <w:r w:rsidRPr="0077205D">
        <w:t xml:space="preserve">the following instructions are added after the instructions for </w:t>
      </w:r>
      <w:r w:rsidRPr="009A52E1">
        <w:t>C0020, C0100/R0240</w:t>
      </w:r>
      <w:r w:rsidRPr="0077205D">
        <w:t xml:space="preserve">: </w:t>
      </w:r>
    </w:p>
    <w:p w14:paraId="22B3E951" w14:textId="77777777" w:rsidR="00C912C6" w:rsidRPr="009A52E1" w:rsidRDefault="00C912C6" w:rsidP="00C912C6">
      <w:pPr>
        <w:pStyle w:val="Luettelokappale"/>
        <w:ind w:left="993"/>
      </w:pPr>
    </w:p>
    <w:tbl>
      <w:tblPr>
        <w:tblW w:w="8646" w:type="dxa"/>
        <w:tblInd w:w="1063" w:type="dxa"/>
        <w:tblCellMar>
          <w:left w:w="70" w:type="dxa"/>
          <w:right w:w="70" w:type="dxa"/>
        </w:tblCellMar>
        <w:tblLook w:val="04A0" w:firstRow="1" w:lastRow="0" w:firstColumn="1" w:lastColumn="0" w:noHBand="0" w:noVBand="1"/>
      </w:tblPr>
      <w:tblGrid>
        <w:gridCol w:w="2352"/>
        <w:gridCol w:w="2609"/>
        <w:gridCol w:w="3685"/>
      </w:tblGrid>
      <w:tr w:rsidR="00C912C6" w:rsidRPr="00DF07B0" w14:paraId="275102AF" w14:textId="77777777" w:rsidTr="009A52E1">
        <w:trPr>
          <w:trHeight w:val="836"/>
        </w:trPr>
        <w:tc>
          <w:tcPr>
            <w:tcW w:w="2352" w:type="dxa"/>
            <w:tcBorders>
              <w:top w:val="nil"/>
              <w:left w:val="single" w:sz="4" w:space="0" w:color="auto"/>
              <w:bottom w:val="single" w:sz="4" w:space="0" w:color="auto"/>
              <w:right w:val="single" w:sz="4" w:space="0" w:color="auto"/>
            </w:tcBorders>
            <w:shd w:val="clear" w:color="000000" w:fill="FFFFFF"/>
            <w:hideMark/>
          </w:tcPr>
          <w:p w14:paraId="11564402" w14:textId="6BABE16D" w:rsidR="00C912C6" w:rsidRPr="00DF07B0" w:rsidRDefault="00C912C6" w:rsidP="00C912C6">
            <w:pPr>
              <w:rPr>
                <w:sz w:val="20"/>
              </w:rPr>
            </w:pPr>
            <w:r w:rsidRPr="00DF07B0">
              <w:rPr>
                <w:sz w:val="20"/>
              </w:rPr>
              <w:t>C0150/</w:t>
            </w:r>
            <w:commentRangeStart w:id="27"/>
            <w:r w:rsidRPr="00DF07B0">
              <w:rPr>
                <w:sz w:val="20"/>
              </w:rPr>
              <w:t>R02</w:t>
            </w:r>
            <w:r>
              <w:rPr>
                <w:sz w:val="20"/>
              </w:rPr>
              <w:t>4</w:t>
            </w:r>
            <w:r w:rsidRPr="00DF07B0">
              <w:rPr>
                <w:sz w:val="20"/>
              </w:rPr>
              <w:t>0</w:t>
            </w:r>
            <w:commentRangeEnd w:id="27"/>
            <w:r>
              <w:rPr>
                <w:rStyle w:val="Kommentinviite"/>
                <w:lang w:eastAsia="pt-PT"/>
              </w:rPr>
              <w:commentReference w:id="27"/>
            </w:r>
          </w:p>
        </w:tc>
        <w:tc>
          <w:tcPr>
            <w:tcW w:w="2609" w:type="dxa"/>
            <w:tcBorders>
              <w:top w:val="nil"/>
              <w:left w:val="nil"/>
              <w:bottom w:val="single" w:sz="4" w:space="0" w:color="auto"/>
              <w:right w:val="single" w:sz="4" w:space="0" w:color="auto"/>
            </w:tcBorders>
            <w:shd w:val="clear" w:color="000000" w:fill="FFFFFF"/>
            <w:hideMark/>
          </w:tcPr>
          <w:p w14:paraId="357BC0CB" w14:textId="2E44CBD4" w:rsidR="00C912C6" w:rsidRPr="00DF07B0" w:rsidRDefault="00C912C6" w:rsidP="00C912C6">
            <w:pPr>
              <w:rPr>
                <w:sz w:val="20"/>
              </w:rPr>
            </w:pPr>
            <w:r w:rsidRPr="00DF07B0">
              <w:rPr>
                <w:sz w:val="20"/>
                <w:lang w:val="en-US"/>
              </w:rPr>
              <w:t xml:space="preserve">Gross Best Estimate for Cash flow, Cash out–flow, Future guaranteed benefits </w:t>
            </w:r>
            <w:r>
              <w:rPr>
                <w:sz w:val="20"/>
                <w:lang w:val="en-US"/>
              </w:rPr>
              <w:t xml:space="preserve"> </w:t>
            </w:r>
            <w:r w:rsidRPr="00DF07B0">
              <w:rPr>
                <w:sz w:val="20"/>
                <w:lang w:val="en-US"/>
              </w:rPr>
              <w:t xml:space="preserve">– Total (Life other than health insurance, including </w:t>
            </w:r>
            <w:r w:rsidRPr="00DF07B0">
              <w:rPr>
                <w:sz w:val="20"/>
              </w:rPr>
              <w:t>Unit–Linked)</w:t>
            </w:r>
          </w:p>
        </w:tc>
        <w:tc>
          <w:tcPr>
            <w:tcW w:w="3685" w:type="dxa"/>
            <w:tcBorders>
              <w:top w:val="nil"/>
              <w:left w:val="nil"/>
              <w:bottom w:val="single" w:sz="4" w:space="0" w:color="auto"/>
              <w:right w:val="single" w:sz="4" w:space="0" w:color="auto"/>
            </w:tcBorders>
            <w:shd w:val="clear" w:color="000000" w:fill="FFFFFF"/>
            <w:hideMark/>
          </w:tcPr>
          <w:p w14:paraId="679FEAD5" w14:textId="29A8AF8A" w:rsidR="00C912C6" w:rsidRPr="00DF07B0" w:rsidRDefault="00C912C6" w:rsidP="00C912C6">
            <w:pPr>
              <w:rPr>
                <w:sz w:val="20"/>
              </w:rPr>
            </w:pPr>
            <w:r w:rsidRPr="00DF07B0">
              <w:rPr>
                <w:sz w:val="20"/>
                <w:lang w:val="en-US"/>
              </w:rPr>
              <w:t xml:space="preserve">Total amount of Gross Best Estimate for Cash flow, Cash out–flow, Future guaranteed benefits for Life other than health insurance, including </w:t>
            </w:r>
            <w:r w:rsidRPr="00DF07B0">
              <w:rPr>
                <w:sz w:val="20"/>
              </w:rPr>
              <w:t>Unit–Linked.</w:t>
            </w:r>
          </w:p>
          <w:p w14:paraId="7D00EB54" w14:textId="77777777" w:rsidR="00C912C6" w:rsidRPr="00DF07B0" w:rsidRDefault="00C912C6" w:rsidP="00C912C6">
            <w:pPr>
              <w:rPr>
                <w:sz w:val="20"/>
                <w:lang w:val="en-US"/>
              </w:rPr>
            </w:pPr>
          </w:p>
        </w:tc>
      </w:tr>
    </w:tbl>
    <w:p w14:paraId="6B0A9DD7" w14:textId="77777777" w:rsidR="00C912C6" w:rsidRPr="00C912C6" w:rsidRDefault="00C912C6" w:rsidP="00C912C6">
      <w:pPr>
        <w:pStyle w:val="Luettelokappale"/>
        <w:ind w:left="993"/>
      </w:pPr>
    </w:p>
    <w:p w14:paraId="79D9A8F0" w14:textId="3AD22FB1" w:rsidR="009A52E1" w:rsidRPr="0077205D" w:rsidRDefault="009A52E1" w:rsidP="00B57666">
      <w:pPr>
        <w:pStyle w:val="Luettelokappale"/>
        <w:numPr>
          <w:ilvl w:val="0"/>
          <w:numId w:val="14"/>
        </w:numPr>
        <w:ind w:left="993" w:hanging="709"/>
      </w:pPr>
      <w:r w:rsidRPr="00BD228A">
        <w:t>In template S.</w:t>
      </w:r>
      <w:r>
        <w:t>12</w:t>
      </w:r>
      <w:r w:rsidRPr="00BD228A">
        <w:t xml:space="preserve">.01 </w:t>
      </w:r>
      <w:r w:rsidRPr="0077205D">
        <w:t xml:space="preserve">the following instructions are added after the instructions for </w:t>
      </w:r>
      <w:r w:rsidRPr="009A52E1">
        <w:t>C0020, C0100/</w:t>
      </w:r>
      <w:commentRangeStart w:id="28"/>
      <w:r w:rsidRPr="009A52E1">
        <w:t>R0250</w:t>
      </w:r>
      <w:commentRangeEnd w:id="28"/>
      <w:r w:rsidR="00D568C7" w:rsidRPr="00B57666">
        <w:commentReference w:id="28"/>
      </w:r>
      <w:r w:rsidRPr="0077205D">
        <w:t xml:space="preserve">: </w:t>
      </w:r>
    </w:p>
    <w:p w14:paraId="1DF9A70D" w14:textId="77777777" w:rsidR="00C912C6" w:rsidRPr="009A52E1" w:rsidRDefault="00C912C6" w:rsidP="00C912C6">
      <w:pPr>
        <w:pStyle w:val="Luettelokappale"/>
        <w:ind w:left="993"/>
      </w:pPr>
    </w:p>
    <w:tbl>
      <w:tblPr>
        <w:tblW w:w="8646" w:type="dxa"/>
        <w:tblInd w:w="1063" w:type="dxa"/>
        <w:tblCellMar>
          <w:left w:w="70" w:type="dxa"/>
          <w:right w:w="70" w:type="dxa"/>
        </w:tblCellMar>
        <w:tblLook w:val="04A0" w:firstRow="1" w:lastRow="0" w:firstColumn="1" w:lastColumn="0" w:noHBand="0" w:noVBand="1"/>
      </w:tblPr>
      <w:tblGrid>
        <w:gridCol w:w="2352"/>
        <w:gridCol w:w="2609"/>
        <w:gridCol w:w="3685"/>
      </w:tblGrid>
      <w:tr w:rsidR="00C912C6" w:rsidRPr="00DF07B0" w14:paraId="7A54ACCE" w14:textId="77777777" w:rsidTr="009A52E1">
        <w:trPr>
          <w:trHeight w:val="836"/>
        </w:trPr>
        <w:tc>
          <w:tcPr>
            <w:tcW w:w="2352" w:type="dxa"/>
            <w:tcBorders>
              <w:top w:val="nil"/>
              <w:left w:val="single" w:sz="4" w:space="0" w:color="auto"/>
              <w:bottom w:val="single" w:sz="4" w:space="0" w:color="auto"/>
              <w:right w:val="single" w:sz="4" w:space="0" w:color="auto"/>
            </w:tcBorders>
            <w:shd w:val="clear" w:color="000000" w:fill="FFFFFF"/>
            <w:hideMark/>
          </w:tcPr>
          <w:p w14:paraId="58548459" w14:textId="62330D7F" w:rsidR="00C912C6" w:rsidRPr="00DF07B0" w:rsidRDefault="00C912C6" w:rsidP="00C912C6">
            <w:pPr>
              <w:rPr>
                <w:sz w:val="20"/>
              </w:rPr>
            </w:pPr>
            <w:r w:rsidRPr="00DF07B0">
              <w:rPr>
                <w:sz w:val="20"/>
              </w:rPr>
              <w:t>C0150/R02</w:t>
            </w:r>
            <w:r>
              <w:rPr>
                <w:sz w:val="20"/>
              </w:rPr>
              <w:t>5</w:t>
            </w:r>
            <w:r w:rsidRPr="00DF07B0">
              <w:rPr>
                <w:sz w:val="20"/>
              </w:rPr>
              <w:t>0</w:t>
            </w:r>
          </w:p>
        </w:tc>
        <w:tc>
          <w:tcPr>
            <w:tcW w:w="2609" w:type="dxa"/>
            <w:tcBorders>
              <w:top w:val="nil"/>
              <w:left w:val="nil"/>
              <w:bottom w:val="single" w:sz="4" w:space="0" w:color="auto"/>
              <w:right w:val="single" w:sz="4" w:space="0" w:color="auto"/>
            </w:tcBorders>
            <w:shd w:val="clear" w:color="000000" w:fill="FFFFFF"/>
            <w:hideMark/>
          </w:tcPr>
          <w:p w14:paraId="3D6622D3" w14:textId="4A8894F9" w:rsidR="00C912C6" w:rsidRPr="00DF07B0" w:rsidRDefault="00C912C6" w:rsidP="00C912C6">
            <w:pPr>
              <w:rPr>
                <w:sz w:val="20"/>
              </w:rPr>
            </w:pPr>
            <w:r w:rsidRPr="00DF07B0">
              <w:rPr>
                <w:sz w:val="20"/>
                <w:lang w:val="en-US"/>
              </w:rPr>
              <w:t>Gross Best Estimate for Cash flow, Cash out–flows, Future discretionary benefits – Insurance with profit participation</w:t>
            </w:r>
            <w:r>
              <w:rPr>
                <w:sz w:val="20"/>
                <w:lang w:val="en-US"/>
              </w:rPr>
              <w:t xml:space="preserve">  </w:t>
            </w:r>
            <w:r w:rsidRPr="00DF07B0">
              <w:rPr>
                <w:sz w:val="20"/>
                <w:lang w:val="en-US"/>
              </w:rPr>
              <w:t xml:space="preserve">– Total (Life other than health insurance, including </w:t>
            </w:r>
            <w:r w:rsidRPr="00DF07B0">
              <w:rPr>
                <w:sz w:val="20"/>
              </w:rPr>
              <w:t>Unit–Linked)</w:t>
            </w:r>
          </w:p>
        </w:tc>
        <w:tc>
          <w:tcPr>
            <w:tcW w:w="3685" w:type="dxa"/>
            <w:tcBorders>
              <w:top w:val="nil"/>
              <w:left w:val="nil"/>
              <w:bottom w:val="single" w:sz="4" w:space="0" w:color="auto"/>
              <w:right w:val="single" w:sz="4" w:space="0" w:color="auto"/>
            </w:tcBorders>
            <w:shd w:val="clear" w:color="000000" w:fill="FFFFFF"/>
            <w:hideMark/>
          </w:tcPr>
          <w:p w14:paraId="1252BFFD" w14:textId="4D159B02" w:rsidR="00C912C6" w:rsidRPr="00DF07B0" w:rsidRDefault="00C912C6" w:rsidP="00C912C6">
            <w:pPr>
              <w:rPr>
                <w:sz w:val="20"/>
              </w:rPr>
            </w:pPr>
            <w:r w:rsidRPr="00DF07B0">
              <w:rPr>
                <w:sz w:val="20"/>
                <w:lang w:val="en-US"/>
              </w:rPr>
              <w:t xml:space="preserve">Total amount of Gross Best Estimate for Cash flow, Cash out–flows, Future discretionary benefits – Insurance with profit participation for Life other than health insurance, including </w:t>
            </w:r>
            <w:r w:rsidRPr="00DF07B0">
              <w:rPr>
                <w:sz w:val="20"/>
              </w:rPr>
              <w:t>Unit–Linked.</w:t>
            </w:r>
          </w:p>
          <w:p w14:paraId="0B9BFD64" w14:textId="77777777" w:rsidR="00C912C6" w:rsidRPr="00DF07B0" w:rsidRDefault="00C912C6" w:rsidP="00C912C6">
            <w:pPr>
              <w:rPr>
                <w:sz w:val="20"/>
                <w:lang w:val="en-US"/>
              </w:rPr>
            </w:pPr>
          </w:p>
        </w:tc>
      </w:tr>
    </w:tbl>
    <w:p w14:paraId="0D8A5A7E" w14:textId="77777777" w:rsidR="00C912C6" w:rsidRPr="00C912C6" w:rsidRDefault="00C912C6" w:rsidP="00C912C6">
      <w:pPr>
        <w:pStyle w:val="Luettelokappale"/>
        <w:ind w:left="993"/>
      </w:pPr>
    </w:p>
    <w:p w14:paraId="38F4A08A" w14:textId="37F0C32B" w:rsidR="00D32EA8" w:rsidRDefault="00D32EA8" w:rsidP="00B57666">
      <w:pPr>
        <w:pStyle w:val="Luettelokappale"/>
        <w:numPr>
          <w:ilvl w:val="0"/>
          <w:numId w:val="14"/>
        </w:numPr>
        <w:ind w:left="993" w:hanging="709"/>
      </w:pPr>
      <w:r w:rsidRPr="00580BC3">
        <w:t xml:space="preserve">In </w:t>
      </w:r>
      <w:r>
        <w:t xml:space="preserve">template S.14.01 in the instructions for column C0080 the last sentence of the instructions is </w:t>
      </w:r>
      <w:commentRangeStart w:id="29"/>
      <w:r>
        <w:t>deleted</w:t>
      </w:r>
      <w:commentRangeEnd w:id="29"/>
      <w:r w:rsidR="009520EF" w:rsidRPr="009A52E1">
        <w:commentReference w:id="29"/>
      </w:r>
      <w:r w:rsidRPr="00EF283B">
        <w:t>;</w:t>
      </w:r>
    </w:p>
    <w:p w14:paraId="466B52D1" w14:textId="77777777" w:rsidR="00D32EA8" w:rsidRDefault="00D32EA8" w:rsidP="00DE7286">
      <w:pPr>
        <w:pStyle w:val="Luettelokappale"/>
        <w:ind w:left="993"/>
        <w:jc w:val="both"/>
      </w:pPr>
    </w:p>
    <w:p w14:paraId="3B59A23A" w14:textId="73F50938" w:rsidR="002237C1" w:rsidRDefault="002237C1" w:rsidP="00221A34">
      <w:pPr>
        <w:pStyle w:val="Luettelokappale"/>
        <w:numPr>
          <w:ilvl w:val="0"/>
          <w:numId w:val="14"/>
        </w:numPr>
        <w:ind w:left="993" w:hanging="709"/>
      </w:pPr>
      <w:r w:rsidRPr="00580BC3">
        <w:t xml:space="preserve">In </w:t>
      </w:r>
      <w:r>
        <w:t>template S.14.01 the instructions for column C0</w:t>
      </w:r>
      <w:r w:rsidR="009520EF">
        <w:t>21</w:t>
      </w:r>
      <w:r>
        <w:t>0 are replaced by the following</w:t>
      </w:r>
      <w:r w:rsidRPr="00EF283B">
        <w:t>;</w:t>
      </w:r>
    </w:p>
    <w:p w14:paraId="1A982FD1" w14:textId="30F58EFF" w:rsidR="002237C1" w:rsidRPr="002237C1" w:rsidRDefault="002237C1" w:rsidP="00221A34">
      <w:pPr>
        <w:pStyle w:val="Luettelokappale"/>
        <w:ind w:left="993"/>
      </w:pPr>
      <w:r>
        <w:t>“</w:t>
      </w:r>
      <w:r w:rsidRPr="002237C1">
        <w:t xml:space="preserve">Average guaranteed rate to the policy holder over the remaining life time of the contract </w:t>
      </w:r>
      <w:commentRangeStart w:id="30"/>
      <w:r w:rsidRPr="009A52E1">
        <w:t>expressed as a percentage</w:t>
      </w:r>
      <w:commentRangeEnd w:id="30"/>
      <w:r w:rsidR="00ED54CB" w:rsidRPr="009A52E1">
        <w:commentReference w:id="30"/>
      </w:r>
      <w:r w:rsidRPr="002237C1">
        <w:t>. Only applicable where a guaranteed rate is provided in the contract.</w:t>
      </w:r>
      <w:r w:rsidRPr="002237C1">
        <w:br/>
        <w:t>Not applicable for unit linked contracts.</w:t>
      </w:r>
      <w:r>
        <w:t>”;</w:t>
      </w:r>
    </w:p>
    <w:p w14:paraId="78B17132" w14:textId="77777777" w:rsidR="002237C1" w:rsidRDefault="002237C1" w:rsidP="002237C1">
      <w:pPr>
        <w:pStyle w:val="Luettelokappale"/>
        <w:ind w:left="993"/>
      </w:pPr>
    </w:p>
    <w:p w14:paraId="3271CFC4" w14:textId="47C85CFB" w:rsidR="000A6583" w:rsidRPr="00B64B4A" w:rsidRDefault="000A6583" w:rsidP="00221A34">
      <w:pPr>
        <w:pStyle w:val="Luettelokappale"/>
        <w:numPr>
          <w:ilvl w:val="0"/>
          <w:numId w:val="14"/>
        </w:numPr>
        <w:ind w:left="993" w:hanging="709"/>
      </w:pPr>
      <w:r w:rsidRPr="00B64B4A">
        <w:t xml:space="preserve">In template </w:t>
      </w:r>
      <w:commentRangeStart w:id="31"/>
      <w:r w:rsidRPr="00B64B4A">
        <w:t>S.</w:t>
      </w:r>
      <w:r>
        <w:t>29</w:t>
      </w:r>
      <w:r w:rsidRPr="00B64B4A">
        <w:t>.0</w:t>
      </w:r>
      <w:r>
        <w:t>1</w:t>
      </w:r>
      <w:commentRangeEnd w:id="31"/>
      <w:r w:rsidR="004A513B" w:rsidRPr="009A52E1">
        <w:commentReference w:id="31"/>
      </w:r>
      <w:r>
        <w:t>.</w:t>
      </w:r>
      <w:r w:rsidRPr="000A6583">
        <w:t xml:space="preserve"> C0030/R0190</w:t>
      </w:r>
      <w:r w:rsidRPr="00B64B4A">
        <w:t xml:space="preserve"> </w:t>
      </w:r>
      <w:r>
        <w:t>at the end of the instructions the following sentence is added</w:t>
      </w:r>
      <w:r w:rsidRPr="00B64B4A">
        <w:t xml:space="preserve">: </w:t>
      </w:r>
    </w:p>
    <w:p w14:paraId="4D4C5339" w14:textId="2C382F5F" w:rsidR="000A6583" w:rsidRDefault="000A6583" w:rsidP="000A6583">
      <w:pPr>
        <w:pStyle w:val="Luettelokappale"/>
        <w:ind w:left="993"/>
      </w:pPr>
      <w:r>
        <w:t>“</w:t>
      </w:r>
      <w:r w:rsidRPr="000A6583">
        <w:t>This amount should not include amount of Own Shares.</w:t>
      </w:r>
      <w:r w:rsidRPr="004817AE">
        <w:t>”;</w:t>
      </w:r>
    </w:p>
    <w:p w14:paraId="71B5A1E8" w14:textId="77777777" w:rsidR="000A6583" w:rsidRDefault="000A6583" w:rsidP="004817AE">
      <w:pPr>
        <w:pStyle w:val="Luettelokappale"/>
        <w:ind w:left="993"/>
      </w:pPr>
    </w:p>
    <w:p w14:paraId="112484BF" w14:textId="12CB682B" w:rsidR="00175792" w:rsidRPr="00B64B4A" w:rsidRDefault="00175792" w:rsidP="00221A34">
      <w:pPr>
        <w:pStyle w:val="Luettelokappale"/>
        <w:numPr>
          <w:ilvl w:val="0"/>
          <w:numId w:val="14"/>
        </w:numPr>
        <w:ind w:left="993" w:hanging="709"/>
      </w:pPr>
      <w:r w:rsidRPr="00B64B4A">
        <w:t xml:space="preserve">In template </w:t>
      </w:r>
      <w:commentRangeStart w:id="32"/>
      <w:r w:rsidRPr="00B64B4A">
        <w:t>S.</w:t>
      </w:r>
      <w:r>
        <w:t>29</w:t>
      </w:r>
      <w:r w:rsidRPr="00B64B4A">
        <w:t>.0</w:t>
      </w:r>
      <w:r>
        <w:t xml:space="preserve">2 </w:t>
      </w:r>
      <w:commentRangeEnd w:id="32"/>
      <w:r w:rsidR="004A513B" w:rsidRPr="009A52E1">
        <w:commentReference w:id="32"/>
      </w:r>
      <w:r>
        <w:t xml:space="preserve">in the third paragraph of the general comments section the bullet list is </w:t>
      </w:r>
      <w:r w:rsidR="005A4901">
        <w:t>replaced</w:t>
      </w:r>
      <w:r>
        <w:t xml:space="preserve"> as it follows</w:t>
      </w:r>
      <w:r w:rsidRPr="00B64B4A">
        <w:t xml:space="preserve">: </w:t>
      </w:r>
    </w:p>
    <w:p w14:paraId="5191C0A1" w14:textId="32701C62" w:rsidR="005A4901" w:rsidRPr="00221A34" w:rsidRDefault="00175792" w:rsidP="004D2D71">
      <w:pPr>
        <w:pStyle w:val="Luettelokappale"/>
        <w:numPr>
          <w:ilvl w:val="0"/>
          <w:numId w:val="15"/>
        </w:numPr>
        <w:spacing w:line="276" w:lineRule="auto"/>
        <w:jc w:val="both"/>
      </w:pPr>
      <w:r w:rsidRPr="00221A34">
        <w:t>“</w:t>
      </w:r>
      <w:r w:rsidR="005A4901" w:rsidRPr="00221A34">
        <w:t>Includes investments</w:t>
      </w:r>
      <w:r w:rsidR="004A513B" w:rsidRPr="00221A34">
        <w:t>;</w:t>
      </w:r>
    </w:p>
    <w:p w14:paraId="59D70591" w14:textId="77777777" w:rsidR="005A4901" w:rsidRPr="005A4901" w:rsidRDefault="005A4901" w:rsidP="004D2D71">
      <w:pPr>
        <w:pStyle w:val="Luettelokappale"/>
        <w:numPr>
          <w:ilvl w:val="0"/>
          <w:numId w:val="15"/>
        </w:numPr>
        <w:spacing w:line="276" w:lineRule="auto"/>
        <w:jc w:val="both"/>
      </w:pPr>
      <w:r w:rsidRPr="005A4901">
        <w:t>Includes liabilities position of derivatives (as investments);</w:t>
      </w:r>
    </w:p>
    <w:p w14:paraId="28FD7673" w14:textId="77777777" w:rsidR="005A4901" w:rsidRPr="005A4901" w:rsidRDefault="005A4901" w:rsidP="004D2D71">
      <w:pPr>
        <w:pStyle w:val="Luettelokappale"/>
        <w:numPr>
          <w:ilvl w:val="0"/>
          <w:numId w:val="15"/>
        </w:numPr>
        <w:spacing w:line="276" w:lineRule="auto"/>
        <w:jc w:val="both"/>
      </w:pPr>
      <w:r w:rsidRPr="005A4901">
        <w:t>Includes Own shares;</w:t>
      </w:r>
    </w:p>
    <w:p w14:paraId="1EB5ED66" w14:textId="77777777" w:rsidR="005A4901" w:rsidRPr="005A4901" w:rsidRDefault="005A4901" w:rsidP="004D2D71">
      <w:pPr>
        <w:pStyle w:val="Luettelokappale"/>
        <w:numPr>
          <w:ilvl w:val="0"/>
          <w:numId w:val="15"/>
        </w:numPr>
        <w:spacing w:line="276" w:lineRule="auto"/>
        <w:jc w:val="both"/>
      </w:pPr>
      <w:r w:rsidRPr="005A4901">
        <w:t>Includes Financial liabilities (comprising subordinated liabilities);</w:t>
      </w:r>
    </w:p>
    <w:p w14:paraId="446130CE" w14:textId="77777777" w:rsidR="005A4901" w:rsidRPr="005A4901" w:rsidRDefault="005A4901" w:rsidP="004D2D71">
      <w:pPr>
        <w:pStyle w:val="Luettelokappale"/>
        <w:numPr>
          <w:ilvl w:val="0"/>
          <w:numId w:val="15"/>
        </w:numPr>
        <w:spacing w:line="276" w:lineRule="auto"/>
        <w:jc w:val="both"/>
      </w:pPr>
      <w:r w:rsidRPr="005A4901">
        <w:t>Excludes assets held for unit–linked and index–linked funds;</w:t>
      </w:r>
    </w:p>
    <w:p w14:paraId="0270DE7A" w14:textId="385E277E" w:rsidR="00175792" w:rsidRDefault="005A4901" w:rsidP="004D2D71">
      <w:pPr>
        <w:pStyle w:val="Luettelokappale"/>
        <w:numPr>
          <w:ilvl w:val="0"/>
          <w:numId w:val="15"/>
        </w:numPr>
        <w:spacing w:line="276" w:lineRule="auto"/>
        <w:ind w:left="993"/>
        <w:jc w:val="both"/>
      </w:pPr>
      <w:r w:rsidRPr="005A4901">
        <w:t>Excludes property held for own use.</w:t>
      </w:r>
      <w:r w:rsidR="00175792" w:rsidRPr="004817AE">
        <w:t>”;</w:t>
      </w:r>
    </w:p>
    <w:p w14:paraId="348A3773" w14:textId="77777777" w:rsidR="00830CFD" w:rsidRDefault="00830CFD" w:rsidP="00175792">
      <w:pPr>
        <w:spacing w:line="276" w:lineRule="auto"/>
        <w:ind w:left="993"/>
        <w:jc w:val="both"/>
      </w:pPr>
    </w:p>
    <w:p w14:paraId="721AC912" w14:textId="4663BBF4" w:rsidR="004D6A10" w:rsidRDefault="004D6A10" w:rsidP="00221A34">
      <w:pPr>
        <w:pStyle w:val="Luettelokappale"/>
        <w:numPr>
          <w:ilvl w:val="0"/>
          <w:numId w:val="14"/>
        </w:numPr>
        <w:ind w:left="993" w:hanging="709"/>
      </w:pPr>
      <w:r w:rsidRPr="00B64B4A">
        <w:t xml:space="preserve">In template </w:t>
      </w:r>
      <w:commentRangeStart w:id="33"/>
      <w:r w:rsidRPr="00B64B4A">
        <w:t>S.</w:t>
      </w:r>
      <w:r>
        <w:t>29</w:t>
      </w:r>
      <w:r w:rsidRPr="00B64B4A">
        <w:t>.0</w:t>
      </w:r>
      <w:r>
        <w:t xml:space="preserve">2 </w:t>
      </w:r>
      <w:commentRangeEnd w:id="33"/>
      <w:r w:rsidR="004A513B" w:rsidRPr="009A52E1">
        <w:commentReference w:id="33"/>
      </w:r>
      <w:r>
        <w:t>the fifth paragraph</w:t>
      </w:r>
      <w:r w:rsidR="00012429">
        <w:t xml:space="preserve"> addressing index-linked and unit-linked</w:t>
      </w:r>
      <w:r>
        <w:t xml:space="preserve"> of the general comments section is deleted</w:t>
      </w:r>
      <w:r w:rsidRPr="004817AE">
        <w:t>;</w:t>
      </w:r>
    </w:p>
    <w:p w14:paraId="71F08E26" w14:textId="77777777" w:rsidR="00830CFD" w:rsidRPr="00175792" w:rsidRDefault="00830CFD" w:rsidP="00830CFD">
      <w:pPr>
        <w:pStyle w:val="Luettelokappale"/>
        <w:spacing w:line="276" w:lineRule="auto"/>
        <w:ind w:left="993"/>
        <w:jc w:val="both"/>
      </w:pPr>
    </w:p>
    <w:p w14:paraId="450F3F2E" w14:textId="08F82F1F" w:rsidR="004D6A10" w:rsidRPr="00B64B4A" w:rsidRDefault="004D6A10" w:rsidP="009A52E1">
      <w:pPr>
        <w:pStyle w:val="Luettelokappale"/>
        <w:numPr>
          <w:ilvl w:val="0"/>
          <w:numId w:val="29"/>
        </w:numPr>
        <w:ind w:left="993" w:hanging="709"/>
      </w:pPr>
      <w:r w:rsidRPr="00B64B4A">
        <w:t xml:space="preserve">In template </w:t>
      </w:r>
      <w:commentRangeStart w:id="34"/>
      <w:r w:rsidRPr="00B64B4A">
        <w:t>S.</w:t>
      </w:r>
      <w:r>
        <w:t>29</w:t>
      </w:r>
      <w:r w:rsidRPr="00B64B4A">
        <w:t>.0</w:t>
      </w:r>
      <w:r w:rsidR="00C911A3">
        <w:t xml:space="preserve">2 </w:t>
      </w:r>
      <w:commentRangeEnd w:id="34"/>
      <w:r w:rsidR="00221A34">
        <w:rPr>
          <w:rStyle w:val="Kommentinviite"/>
          <w:lang w:eastAsia="pt-PT"/>
        </w:rPr>
        <w:commentReference w:id="34"/>
      </w:r>
      <w:r w:rsidR="00C911A3">
        <w:t>the first sentence in the six paragraph is replaced as it follows</w:t>
      </w:r>
      <w:r w:rsidRPr="00B64B4A">
        <w:t xml:space="preserve">: </w:t>
      </w:r>
    </w:p>
    <w:p w14:paraId="5C7BBEB1" w14:textId="6F220E80" w:rsidR="004D6A10" w:rsidRDefault="004D6A10" w:rsidP="009A52E1">
      <w:pPr>
        <w:pStyle w:val="Luettelokappale"/>
        <w:ind w:left="993"/>
      </w:pPr>
      <w:r>
        <w:t>“</w:t>
      </w:r>
      <w:r w:rsidR="00C911A3" w:rsidRPr="00C911A3">
        <w:t xml:space="preserve">The difference between template S.29.02 (last table) and information in template S.09.01 is the inclusion of the revenue from own shares and the exclusion of </w:t>
      </w:r>
      <w:r w:rsidR="00C911A3" w:rsidRPr="009A52E1">
        <w:t>Property held for own use</w:t>
      </w:r>
      <w:r w:rsidR="00C911A3" w:rsidRPr="00C911A3">
        <w:t>.</w:t>
      </w:r>
      <w:r w:rsidRPr="004817AE">
        <w:t>”;</w:t>
      </w:r>
    </w:p>
    <w:p w14:paraId="7233165F" w14:textId="77777777" w:rsidR="004D6A10" w:rsidRPr="00175792" w:rsidRDefault="004D6A10" w:rsidP="00175792">
      <w:pPr>
        <w:spacing w:line="276" w:lineRule="auto"/>
        <w:ind w:left="993"/>
        <w:jc w:val="both"/>
      </w:pPr>
    </w:p>
    <w:p w14:paraId="6655F2EE" w14:textId="3F33A3B3" w:rsidR="00937EF0" w:rsidRPr="00B64B4A" w:rsidRDefault="00937EF0" w:rsidP="009A52E1">
      <w:pPr>
        <w:pStyle w:val="Luettelokappale"/>
        <w:numPr>
          <w:ilvl w:val="0"/>
          <w:numId w:val="29"/>
        </w:numPr>
        <w:ind w:left="993" w:hanging="709"/>
      </w:pPr>
      <w:r w:rsidRPr="00B64B4A">
        <w:t xml:space="preserve">In template </w:t>
      </w:r>
      <w:commentRangeStart w:id="35"/>
      <w:r w:rsidRPr="00B64B4A">
        <w:t>S.</w:t>
      </w:r>
      <w:r>
        <w:t>29</w:t>
      </w:r>
      <w:r w:rsidRPr="00B64B4A">
        <w:t>.0</w:t>
      </w:r>
      <w:r>
        <w:t>2.</w:t>
      </w:r>
      <w:r w:rsidRPr="000626BB">
        <w:t xml:space="preserve"> C0010/R0050</w:t>
      </w:r>
      <w:r>
        <w:t xml:space="preserve"> </w:t>
      </w:r>
      <w:commentRangeEnd w:id="35"/>
      <w:r w:rsidR="004A513B" w:rsidRPr="009A52E1">
        <w:commentReference w:id="35"/>
      </w:r>
      <w:r>
        <w:t>the instructions are replaced by</w:t>
      </w:r>
      <w:r w:rsidRPr="00B64B4A">
        <w:t xml:space="preserve">: </w:t>
      </w:r>
    </w:p>
    <w:p w14:paraId="36AB1F12" w14:textId="77777777" w:rsidR="00937EF0" w:rsidRPr="00937EF0" w:rsidRDefault="00937EF0" w:rsidP="009A52E1">
      <w:pPr>
        <w:pStyle w:val="Luettelokappale"/>
        <w:ind w:left="993"/>
      </w:pPr>
      <w:r>
        <w:t>“</w:t>
      </w:r>
      <w:r w:rsidRPr="00937EF0">
        <w:t>Investments expenses including interest charges on subordinated and financial liabilities, including:</w:t>
      </w:r>
    </w:p>
    <w:p w14:paraId="5DD3C8B5" w14:textId="0EDF2723" w:rsidR="00937EF0" w:rsidRPr="00937EF0" w:rsidRDefault="00937EF0" w:rsidP="00937EF0">
      <w:pPr>
        <w:pStyle w:val="Luettelokappale"/>
        <w:ind w:left="993"/>
      </w:pPr>
      <w:r w:rsidRPr="00937EF0">
        <w:t xml:space="preserve">– Investment management expenses – related to “Investments ” and to “Own shares”; </w:t>
      </w:r>
    </w:p>
    <w:p w14:paraId="20C7B96C" w14:textId="77777777" w:rsidR="00937EF0" w:rsidRPr="00937EF0" w:rsidRDefault="00937EF0" w:rsidP="00937EF0">
      <w:pPr>
        <w:pStyle w:val="Luettelokappale"/>
        <w:ind w:left="993"/>
      </w:pPr>
      <w:r w:rsidRPr="00937EF0">
        <w:t>– Interest charges on financial and subordinated liabilities related to “Financial liabilities other than debts owed to credit institutions” as well as “Debts owed to credit institutions” and “Subordinated liabilities”.</w:t>
      </w:r>
    </w:p>
    <w:p w14:paraId="29212CC4" w14:textId="77777777" w:rsidR="00937EF0" w:rsidRPr="00937EF0" w:rsidRDefault="00937EF0" w:rsidP="00937EF0">
      <w:pPr>
        <w:pStyle w:val="Luettelokappale"/>
        <w:ind w:left="993"/>
      </w:pPr>
    </w:p>
    <w:p w14:paraId="4548A1FC" w14:textId="78517EED" w:rsidR="00937EF0" w:rsidRDefault="00937EF0" w:rsidP="00937EF0">
      <w:pPr>
        <w:pStyle w:val="Luettelokappale"/>
        <w:ind w:left="993"/>
      </w:pPr>
      <w:r w:rsidRPr="00937EF0">
        <w:t>Those expenses and charges correspond to the ones recorded and recognised on an accrual basis at the end of the period.</w:t>
      </w:r>
      <w:r w:rsidRPr="004817AE">
        <w:t>”;</w:t>
      </w:r>
    </w:p>
    <w:p w14:paraId="0E7B25EE" w14:textId="77777777" w:rsidR="00937EF0" w:rsidRDefault="00937EF0" w:rsidP="00937EF0">
      <w:pPr>
        <w:spacing w:line="276" w:lineRule="auto"/>
        <w:ind w:left="993"/>
        <w:jc w:val="both"/>
      </w:pPr>
    </w:p>
    <w:p w14:paraId="29D13D6E" w14:textId="3C25D59D" w:rsidR="002B1BD3" w:rsidRPr="00B64B4A" w:rsidRDefault="002B1BD3" w:rsidP="009A52E1">
      <w:pPr>
        <w:pStyle w:val="Luettelokappale"/>
        <w:numPr>
          <w:ilvl w:val="0"/>
          <w:numId w:val="29"/>
        </w:numPr>
        <w:ind w:left="993" w:hanging="709"/>
      </w:pPr>
      <w:r w:rsidRPr="00B64B4A">
        <w:t xml:space="preserve">In template </w:t>
      </w:r>
      <w:commentRangeStart w:id="36"/>
      <w:r w:rsidRPr="00B64B4A">
        <w:t>S.</w:t>
      </w:r>
      <w:r>
        <w:t>29</w:t>
      </w:r>
      <w:r w:rsidRPr="00B64B4A">
        <w:t>.0</w:t>
      </w:r>
      <w:r>
        <w:t xml:space="preserve">2 </w:t>
      </w:r>
      <w:r w:rsidRPr="002B1BD3">
        <w:t xml:space="preserve"> </w:t>
      </w:r>
      <w:commentRangeEnd w:id="36"/>
      <w:r w:rsidR="00D3267B" w:rsidRPr="009A52E1">
        <w:commentReference w:id="36"/>
      </w:r>
      <w:r>
        <w:t xml:space="preserve">in the instructions for column </w:t>
      </w:r>
      <w:r w:rsidR="00012429">
        <w:t xml:space="preserve">C0010/R0070, </w:t>
      </w:r>
      <w:r w:rsidRPr="002B1BD3">
        <w:t xml:space="preserve">C0010/R0080,  C0010/R0090 and C0010/R0100 </w:t>
      </w:r>
      <w:r>
        <w:t>the following words are deleted</w:t>
      </w:r>
      <w:r w:rsidRPr="00B64B4A">
        <w:t xml:space="preserve">: </w:t>
      </w:r>
    </w:p>
    <w:p w14:paraId="3D602DD9" w14:textId="32D83F4F" w:rsidR="002B1BD3" w:rsidRDefault="002B1BD3" w:rsidP="002B1BD3">
      <w:pPr>
        <w:pStyle w:val="Luettelokappale"/>
        <w:ind w:left="993"/>
      </w:pPr>
      <w:r>
        <w:t>“</w:t>
      </w:r>
      <w:r w:rsidRPr="002B1BD3">
        <w:t>assets held for unit–linked and index–linked funds, or</w:t>
      </w:r>
      <w:r w:rsidRPr="004817AE">
        <w:t>”;</w:t>
      </w:r>
    </w:p>
    <w:p w14:paraId="36AE11FC" w14:textId="77777777" w:rsidR="002B1BD3" w:rsidRDefault="002B1BD3" w:rsidP="00937EF0">
      <w:pPr>
        <w:spacing w:line="276" w:lineRule="auto"/>
        <w:ind w:left="993"/>
        <w:jc w:val="both"/>
      </w:pPr>
    </w:p>
    <w:p w14:paraId="5A9402DD" w14:textId="6E1AE32F" w:rsidR="000D2971" w:rsidRPr="00B64B4A" w:rsidRDefault="000D2971" w:rsidP="009A52E1">
      <w:pPr>
        <w:pStyle w:val="Luettelokappale"/>
        <w:numPr>
          <w:ilvl w:val="0"/>
          <w:numId w:val="29"/>
        </w:numPr>
        <w:ind w:left="993" w:hanging="709"/>
      </w:pPr>
      <w:r w:rsidRPr="00B64B4A">
        <w:t xml:space="preserve">In template </w:t>
      </w:r>
      <w:commentRangeStart w:id="37"/>
      <w:r w:rsidRPr="00B64B4A">
        <w:t>S.</w:t>
      </w:r>
      <w:r>
        <w:t>29</w:t>
      </w:r>
      <w:r w:rsidRPr="00B64B4A">
        <w:t>.0</w:t>
      </w:r>
      <w:r>
        <w:t xml:space="preserve">3 </w:t>
      </w:r>
      <w:commentRangeEnd w:id="37"/>
      <w:r w:rsidR="00D3267B" w:rsidRPr="009A52E1">
        <w:commentReference w:id="37"/>
      </w:r>
      <w:r>
        <w:t xml:space="preserve">the instructions for row </w:t>
      </w:r>
      <w:r w:rsidRPr="000D2971">
        <w:t>C0010–C0020/R0080</w:t>
      </w:r>
      <w:r w:rsidR="00512A6C">
        <w:t xml:space="preserve"> </w:t>
      </w:r>
      <w:r>
        <w:t>are replaced with the following</w:t>
      </w:r>
      <w:r w:rsidRPr="00B64B4A">
        <w:t xml:space="preserve">: </w:t>
      </w:r>
    </w:p>
    <w:p w14:paraId="57CFD3F7" w14:textId="21ED1720" w:rsidR="000D2971" w:rsidRPr="000D2971" w:rsidRDefault="000D2971" w:rsidP="000D2971">
      <w:pPr>
        <w:pStyle w:val="Luettelokappale"/>
        <w:ind w:left="993"/>
      </w:pPr>
      <w:r>
        <w:t>“</w:t>
      </w:r>
      <w:r w:rsidRPr="000D2971">
        <w:t>The variation of Best Estimate captured here shall strictly relate to the cash flows projected at the end of the period when compared to the cash flows that were projected at the beginning</w:t>
      </w:r>
      <w:r w:rsidR="005A5145">
        <w:t xml:space="preserve"> of the period for the periods N</w:t>
      </w:r>
      <w:r w:rsidRPr="000D2971">
        <w:t xml:space="preserve">+1 and future. </w:t>
      </w:r>
    </w:p>
    <w:p w14:paraId="3223F9A6" w14:textId="2F526028" w:rsidR="000D2971" w:rsidRPr="000D2971" w:rsidRDefault="000D2971" w:rsidP="000D2971">
      <w:pPr>
        <w:pStyle w:val="Luettelokappale"/>
        <w:ind w:left="993"/>
      </w:pPr>
    </w:p>
    <w:p w14:paraId="637D2197" w14:textId="3FF28E1A" w:rsidR="000D2971" w:rsidRDefault="000D2971" w:rsidP="000D2971">
      <w:pPr>
        <w:pStyle w:val="Luettelokappale"/>
        <w:ind w:left="993"/>
      </w:pPr>
      <w:r w:rsidRPr="000D2971">
        <w:t xml:space="preserve">Should only capture the changes due to the realisation of the CF in year </w:t>
      </w:r>
      <w:r w:rsidR="005A5145">
        <w:t>N</w:t>
      </w:r>
      <w:r w:rsidRPr="000D2971">
        <w:t xml:space="preserve"> and not linked to changes in assumptions.</w:t>
      </w:r>
      <w:r w:rsidRPr="004817AE">
        <w:t>”;</w:t>
      </w:r>
    </w:p>
    <w:p w14:paraId="7FB4CEC5" w14:textId="77777777" w:rsidR="001E0F82" w:rsidRDefault="001E0F82" w:rsidP="000D2971">
      <w:pPr>
        <w:pStyle w:val="Luettelokappale"/>
        <w:ind w:left="993"/>
      </w:pPr>
    </w:p>
    <w:p w14:paraId="3A1920C0" w14:textId="0A4D5AC6" w:rsidR="001E0F82" w:rsidRPr="00B64B4A" w:rsidRDefault="001E0F82" w:rsidP="009A52E1">
      <w:pPr>
        <w:pStyle w:val="Luettelokappale"/>
        <w:numPr>
          <w:ilvl w:val="0"/>
          <w:numId w:val="29"/>
        </w:numPr>
        <w:ind w:left="993" w:hanging="709"/>
      </w:pPr>
      <w:r w:rsidRPr="00B64B4A">
        <w:t xml:space="preserve">In template </w:t>
      </w:r>
      <w:commentRangeStart w:id="38"/>
      <w:r w:rsidRPr="00B64B4A">
        <w:t>S.</w:t>
      </w:r>
      <w:r>
        <w:t>29</w:t>
      </w:r>
      <w:r w:rsidRPr="00B64B4A">
        <w:t>.0</w:t>
      </w:r>
      <w:r>
        <w:t xml:space="preserve">3 </w:t>
      </w:r>
      <w:commentRangeEnd w:id="38"/>
      <w:r>
        <w:t xml:space="preserve">in </w:t>
      </w:r>
      <w:r w:rsidRPr="009A52E1">
        <w:commentReference w:id="38"/>
      </w:r>
      <w:r>
        <w:t>the instructions for row C0010–C0020/R009</w:t>
      </w:r>
      <w:r w:rsidRPr="000D2971">
        <w:t>0</w:t>
      </w:r>
      <w:r>
        <w:t xml:space="preserve"> the first paragraph is  replaced with the following</w:t>
      </w:r>
      <w:r w:rsidRPr="00B64B4A">
        <w:t xml:space="preserve">: </w:t>
      </w:r>
    </w:p>
    <w:p w14:paraId="33DC06F6" w14:textId="5FD52433" w:rsidR="001E0F82" w:rsidRPr="001E0F82" w:rsidRDefault="001E0F82" w:rsidP="001E0F82">
      <w:pPr>
        <w:pStyle w:val="Default"/>
        <w:ind w:left="993"/>
        <w:rPr>
          <w:rFonts w:ascii="Times New Roman" w:hAnsi="Times New Roman" w:cs="Times New Roman"/>
        </w:rPr>
      </w:pPr>
      <w:r w:rsidRPr="001E0F82">
        <w:rPr>
          <w:rFonts w:ascii="Times New Roman" w:hAnsi="Times New Roman" w:cs="Times New Roman"/>
        </w:rPr>
        <w:t>“</w:t>
      </w:r>
      <w:r w:rsidRPr="004F5232">
        <w:rPr>
          <w:rFonts w:ascii="Times New Roman" w:hAnsi="Times New Roman" w:cs="Times New Roman"/>
          <w:color w:val="auto"/>
        </w:rPr>
        <w:t xml:space="preserve">It mainly refers to changes in best estimate not driven by realised technical flows and changes in assumptions directly linked to insurance risks (i.e. lapse rates), which can be referred </w:t>
      </w:r>
      <w:r w:rsidR="00776B60" w:rsidRPr="004F5232">
        <w:rPr>
          <w:rFonts w:ascii="Times New Roman" w:hAnsi="Times New Roman" w:cs="Times New Roman"/>
          <w:color w:val="auto"/>
        </w:rPr>
        <w:t>to as non–economic assumptions.</w:t>
      </w:r>
      <w:r w:rsidRPr="004F5232">
        <w:rPr>
          <w:rFonts w:ascii="Times New Roman" w:hAnsi="Times New Roman" w:cs="Times New Roman"/>
          <w:color w:val="auto"/>
        </w:rPr>
        <w:t>”;</w:t>
      </w:r>
    </w:p>
    <w:p w14:paraId="4893BD98" w14:textId="77777777" w:rsidR="00512A6C" w:rsidRDefault="00512A6C" w:rsidP="000D2971">
      <w:pPr>
        <w:pStyle w:val="Luettelokappale"/>
        <w:ind w:left="993"/>
      </w:pPr>
    </w:p>
    <w:p w14:paraId="26FAEBA6" w14:textId="307D2D6A" w:rsidR="00512A6C" w:rsidRPr="00B64B4A" w:rsidRDefault="00512A6C" w:rsidP="009A52E1">
      <w:pPr>
        <w:pStyle w:val="Luettelokappale"/>
        <w:numPr>
          <w:ilvl w:val="0"/>
          <w:numId w:val="29"/>
        </w:numPr>
        <w:ind w:left="993" w:hanging="709"/>
      </w:pPr>
      <w:r w:rsidRPr="00B64B4A">
        <w:t xml:space="preserve">In template </w:t>
      </w:r>
      <w:commentRangeStart w:id="39"/>
      <w:r w:rsidRPr="00B64B4A">
        <w:t>S.</w:t>
      </w:r>
      <w:r>
        <w:t>29</w:t>
      </w:r>
      <w:r w:rsidRPr="00B64B4A">
        <w:t>.0</w:t>
      </w:r>
      <w:r>
        <w:t xml:space="preserve">3 </w:t>
      </w:r>
      <w:commentRangeEnd w:id="39"/>
      <w:r w:rsidR="00D3267B" w:rsidRPr="009A52E1">
        <w:commentReference w:id="39"/>
      </w:r>
      <w:r>
        <w:t xml:space="preserve">the instructions for row </w:t>
      </w:r>
      <w:r w:rsidRPr="00512A6C">
        <w:t xml:space="preserve">C0050–C0060/R0190 </w:t>
      </w:r>
      <w:r>
        <w:t>are replaced with the following</w:t>
      </w:r>
      <w:r w:rsidRPr="00B64B4A">
        <w:t xml:space="preserve">: </w:t>
      </w:r>
    </w:p>
    <w:p w14:paraId="2DFF693B" w14:textId="77777777" w:rsidR="00512A6C" w:rsidRPr="004F5232" w:rsidRDefault="00512A6C" w:rsidP="00512A6C">
      <w:pPr>
        <w:pStyle w:val="Luettelokappale"/>
        <w:ind w:left="993"/>
      </w:pPr>
      <w:r>
        <w:t>“</w:t>
      </w:r>
      <w:r w:rsidRPr="00512A6C">
        <w:t xml:space="preserve">It is expected that these cells mainly concerns Non–Life and refers to changes in (part </w:t>
      </w:r>
      <w:r w:rsidRPr="004F5232">
        <w:t>of) Premiums Provisions (i.e. in relation to all recognised obligations within the boundary of the contract at the valuation date where the claim has not yet occurred) as follows:</w:t>
      </w:r>
    </w:p>
    <w:p w14:paraId="3A74BBE6" w14:textId="22B62C82" w:rsidR="00512A6C" w:rsidRPr="004F5232" w:rsidRDefault="00512A6C" w:rsidP="00086ED7">
      <w:pPr>
        <w:pStyle w:val="Luettelokappale"/>
        <w:numPr>
          <w:ilvl w:val="0"/>
          <w:numId w:val="39"/>
        </w:numPr>
      </w:pPr>
      <w:r w:rsidRPr="004F5232">
        <w:t>Identify the part of premiums provisions at end of Year  (N–1) related to a coverage period starting after the closing Year end N;</w:t>
      </w:r>
    </w:p>
    <w:p w14:paraId="2B593AA0" w14:textId="41D64B5F" w:rsidR="00512A6C" w:rsidRPr="004F5232" w:rsidRDefault="00512A6C" w:rsidP="00086ED7">
      <w:pPr>
        <w:pStyle w:val="Luettelokappale"/>
        <w:numPr>
          <w:ilvl w:val="0"/>
          <w:numId w:val="39"/>
        </w:numPr>
      </w:pPr>
      <w:r w:rsidRPr="004F5232">
        <w:t>Identify the part of premiums provisions at end of year (N) related to a coverage period starting after the closing year end N;</w:t>
      </w:r>
    </w:p>
    <w:p w14:paraId="2AC0FC17" w14:textId="4F4446AC" w:rsidR="00512A6C" w:rsidRPr="004F5232" w:rsidRDefault="00512A6C" w:rsidP="00086ED7">
      <w:pPr>
        <w:pStyle w:val="Luettelokappale"/>
        <w:numPr>
          <w:ilvl w:val="0"/>
          <w:numId w:val="39"/>
        </w:numPr>
      </w:pPr>
      <w:r w:rsidRPr="004F5232">
        <w:t>Derive the variation from the two figures.”;</w:t>
      </w:r>
    </w:p>
    <w:p w14:paraId="5BB2AEE8" w14:textId="77777777" w:rsidR="008C3C02" w:rsidRPr="0087641E" w:rsidRDefault="008C3C02" w:rsidP="00127DF7">
      <w:pPr>
        <w:pStyle w:val="Luettelokappale"/>
        <w:ind w:left="993"/>
        <w:jc w:val="both"/>
        <w:rPr>
          <w:highlight w:val="yellow"/>
        </w:rPr>
      </w:pPr>
    </w:p>
    <w:p w14:paraId="663EAC4C" w14:textId="2E25ED74" w:rsidR="005A1B6C" w:rsidRPr="00B64B4A" w:rsidRDefault="005A1B6C" w:rsidP="009A52E1">
      <w:pPr>
        <w:pStyle w:val="Luettelokappale"/>
        <w:numPr>
          <w:ilvl w:val="0"/>
          <w:numId w:val="29"/>
        </w:numPr>
        <w:ind w:left="993" w:hanging="709"/>
      </w:pPr>
      <w:r w:rsidRPr="00B64B4A">
        <w:t xml:space="preserve">In template </w:t>
      </w:r>
      <w:commentRangeStart w:id="40"/>
      <w:r w:rsidRPr="00B64B4A">
        <w:t>S.</w:t>
      </w:r>
      <w:r>
        <w:t>29</w:t>
      </w:r>
      <w:r w:rsidRPr="00B64B4A">
        <w:t>.0</w:t>
      </w:r>
      <w:r>
        <w:t xml:space="preserve">3 </w:t>
      </w:r>
      <w:commentRangeEnd w:id="40"/>
      <w:r w:rsidR="00D3267B" w:rsidRPr="009A52E1">
        <w:commentReference w:id="40"/>
      </w:r>
      <w:r>
        <w:t xml:space="preserve">the instructions for row </w:t>
      </w:r>
      <w:r w:rsidRPr="00512A6C">
        <w:t>C0050–C0060/R0</w:t>
      </w:r>
      <w:r>
        <w:t>20</w:t>
      </w:r>
      <w:r w:rsidRPr="00512A6C">
        <w:t xml:space="preserve">0 </w:t>
      </w:r>
      <w:r>
        <w:t>are replaced with the following</w:t>
      </w:r>
      <w:r w:rsidRPr="00B64B4A">
        <w:t xml:space="preserve">: </w:t>
      </w:r>
    </w:p>
    <w:p w14:paraId="7EB2FEFD" w14:textId="77777777" w:rsidR="005A1B6C" w:rsidRPr="004F5232" w:rsidRDefault="005A1B6C" w:rsidP="005A1B6C">
      <w:pPr>
        <w:pStyle w:val="Luettelokappale"/>
        <w:ind w:left="993"/>
      </w:pPr>
      <w:r>
        <w:t>“</w:t>
      </w:r>
      <w:r w:rsidRPr="005A1B6C">
        <w:t xml:space="preserve">It </w:t>
      </w:r>
      <w:r w:rsidRPr="004F5232">
        <w:t>is expected that these cells mainly concerns Non–Life, and refers to the following cases:</w:t>
      </w:r>
    </w:p>
    <w:p w14:paraId="33ED3D9A" w14:textId="2DC9B33C" w:rsidR="005A1B6C" w:rsidRPr="004F5232" w:rsidRDefault="005A1B6C" w:rsidP="00B07C12">
      <w:pPr>
        <w:pStyle w:val="Luettelokappale"/>
        <w:numPr>
          <w:ilvl w:val="0"/>
          <w:numId w:val="41"/>
        </w:numPr>
      </w:pPr>
      <w:r w:rsidRPr="004F5232">
        <w:t>(part of) Premiums Provisions at Year end N–1 which turned to Claims Provisions at year end N becau</w:t>
      </w:r>
      <w:r w:rsidR="00CB5EB9" w:rsidRPr="004F5232">
        <w:t>se claim has occurred during that</w:t>
      </w:r>
      <w:r w:rsidRPr="004F5232">
        <w:t xml:space="preserve"> period</w:t>
      </w:r>
    </w:p>
    <w:p w14:paraId="2F610301" w14:textId="77777777" w:rsidR="005A1B6C" w:rsidRPr="004F5232" w:rsidRDefault="005A1B6C" w:rsidP="00B07C12">
      <w:pPr>
        <w:pStyle w:val="Luettelokappale"/>
        <w:numPr>
          <w:ilvl w:val="0"/>
          <w:numId w:val="41"/>
        </w:numPr>
      </w:pPr>
      <w:r w:rsidRPr="004F5232">
        <w:t>claims provisions related to claims occurred during the period (for which there was no Premiums provisions at year end N–1)</w:t>
      </w:r>
    </w:p>
    <w:p w14:paraId="37BD10D6" w14:textId="77777777" w:rsidR="005A1B6C" w:rsidRPr="004F5232" w:rsidRDefault="005A1B6C" w:rsidP="005A1B6C">
      <w:pPr>
        <w:pStyle w:val="Luettelokappale"/>
        <w:ind w:left="993"/>
      </w:pPr>
      <w:r w:rsidRPr="004F5232">
        <w:t> </w:t>
      </w:r>
    </w:p>
    <w:p w14:paraId="6B3BA28E" w14:textId="77777777" w:rsidR="005A1B6C" w:rsidRPr="004F5232" w:rsidRDefault="005A1B6C" w:rsidP="005A1B6C">
      <w:pPr>
        <w:pStyle w:val="Luettelokappale"/>
        <w:ind w:left="993"/>
      </w:pPr>
      <w:r w:rsidRPr="004F5232">
        <w:t>Calculation may be as follows:</w:t>
      </w:r>
    </w:p>
    <w:p w14:paraId="69D7FFFE" w14:textId="551654AD" w:rsidR="005A1B6C" w:rsidRPr="004F5232" w:rsidRDefault="005A1B6C" w:rsidP="00B22F96">
      <w:pPr>
        <w:pStyle w:val="Luettelokappale"/>
        <w:numPr>
          <w:ilvl w:val="0"/>
          <w:numId w:val="40"/>
        </w:numPr>
      </w:pPr>
      <w:r w:rsidRPr="004F5232">
        <w:t xml:space="preserve">Identify the part of premiums provisions at Year end (N–1) related to risks covered during the period; </w:t>
      </w:r>
    </w:p>
    <w:p w14:paraId="442E2F71" w14:textId="77777777" w:rsidR="00B22F96" w:rsidRPr="004F5232" w:rsidRDefault="005A1B6C" w:rsidP="00B22F96">
      <w:pPr>
        <w:pStyle w:val="Luettelokappale"/>
        <w:numPr>
          <w:ilvl w:val="0"/>
          <w:numId w:val="40"/>
        </w:numPr>
      </w:pPr>
      <w:r w:rsidRPr="004F5232">
        <w:t xml:space="preserve">Identify the part of claims provisions at Year end (N) related to risks covered during the period;  </w:t>
      </w:r>
    </w:p>
    <w:p w14:paraId="6DFF6D9F" w14:textId="3ADEEC00" w:rsidR="005A1B6C" w:rsidRPr="004F5232" w:rsidRDefault="005A1B6C" w:rsidP="00B22F96">
      <w:pPr>
        <w:pStyle w:val="Luettelokappale"/>
        <w:numPr>
          <w:ilvl w:val="0"/>
          <w:numId w:val="40"/>
        </w:numPr>
      </w:pPr>
      <w:r w:rsidRPr="004F5232">
        <w:t>Derive the variation from the two figures.”;</w:t>
      </w:r>
    </w:p>
    <w:p w14:paraId="1B627C2F" w14:textId="77777777" w:rsidR="007B66A3" w:rsidRDefault="007B66A3" w:rsidP="005A1B6C">
      <w:pPr>
        <w:pStyle w:val="Luettelokappale"/>
        <w:ind w:left="993"/>
      </w:pPr>
    </w:p>
    <w:p w14:paraId="1B3E7F6E" w14:textId="23B43B44" w:rsidR="007B66A3" w:rsidRPr="004F5232" w:rsidRDefault="007B66A3" w:rsidP="009A52E1">
      <w:pPr>
        <w:pStyle w:val="Luettelokappale"/>
        <w:numPr>
          <w:ilvl w:val="0"/>
          <w:numId w:val="29"/>
        </w:numPr>
        <w:ind w:left="993" w:hanging="709"/>
      </w:pPr>
      <w:r w:rsidRPr="004F5232">
        <w:t xml:space="preserve">In template </w:t>
      </w:r>
      <w:commentRangeStart w:id="41"/>
      <w:r w:rsidRPr="004F5232">
        <w:t xml:space="preserve">S.29.03 </w:t>
      </w:r>
      <w:commentRangeEnd w:id="41"/>
      <w:r w:rsidRPr="004F5232">
        <w:t xml:space="preserve">in </w:t>
      </w:r>
      <w:r w:rsidRPr="004F5232">
        <w:commentReference w:id="41"/>
      </w:r>
      <w:r w:rsidRPr="004F5232">
        <w:t xml:space="preserve">the instructions for row C0050–C0060/R0240 the first paragraph is  replaced with the following: </w:t>
      </w:r>
    </w:p>
    <w:p w14:paraId="47AB586E" w14:textId="2C8EDF7B" w:rsidR="007B66A3" w:rsidRPr="004F5232" w:rsidRDefault="007B66A3" w:rsidP="007B66A3">
      <w:pPr>
        <w:pStyle w:val="Default"/>
        <w:ind w:left="993"/>
        <w:rPr>
          <w:rFonts w:ascii="Times New Roman" w:hAnsi="Times New Roman" w:cs="Times New Roman"/>
          <w:color w:val="auto"/>
        </w:rPr>
      </w:pPr>
      <w:r w:rsidRPr="004F5232">
        <w:rPr>
          <w:rFonts w:ascii="Times New Roman" w:hAnsi="Times New Roman" w:cs="Times New Roman"/>
          <w:color w:val="auto"/>
        </w:rPr>
        <w:t>“It mainly refers to changes in best estimate not driven by realised technical flows and changes in assumptions directly linked to insurance risks (i.e. lapse rates), which can be referred to as non–economic assumptions.”;</w:t>
      </w:r>
    </w:p>
    <w:p w14:paraId="0FC59D92" w14:textId="77777777" w:rsidR="000D2971" w:rsidRPr="00A05BD8" w:rsidRDefault="000D2971" w:rsidP="00127DF7">
      <w:pPr>
        <w:pStyle w:val="Luettelokappale"/>
        <w:ind w:left="993"/>
        <w:jc w:val="both"/>
        <w:rPr>
          <w:highlight w:val="yellow"/>
        </w:rPr>
      </w:pPr>
    </w:p>
    <w:p w14:paraId="51FA39FC" w14:textId="019523F8" w:rsidR="004E46A9" w:rsidRDefault="004E46A9" w:rsidP="009A52E1">
      <w:pPr>
        <w:pStyle w:val="Luettelokappale"/>
        <w:numPr>
          <w:ilvl w:val="0"/>
          <w:numId w:val="29"/>
        </w:numPr>
        <w:ind w:left="993" w:hanging="709"/>
      </w:pPr>
      <w:r w:rsidRPr="00B64B4A">
        <w:t xml:space="preserve">In template </w:t>
      </w:r>
      <w:commentRangeStart w:id="42"/>
      <w:r w:rsidRPr="00B64B4A">
        <w:t>S.</w:t>
      </w:r>
      <w:r>
        <w:t>29</w:t>
      </w:r>
      <w:r w:rsidRPr="00B64B4A">
        <w:t>.0</w:t>
      </w:r>
      <w:r>
        <w:t xml:space="preserve">3 </w:t>
      </w:r>
      <w:commentRangeEnd w:id="42"/>
      <w:r w:rsidR="00D3267B" w:rsidRPr="009A52E1">
        <w:commentReference w:id="42"/>
      </w:r>
      <w:r>
        <w:t xml:space="preserve">the instructions for row </w:t>
      </w:r>
      <w:r w:rsidRPr="00512A6C">
        <w:t>C00</w:t>
      </w:r>
      <w:r>
        <w:t>9</w:t>
      </w:r>
      <w:r w:rsidRPr="00512A6C">
        <w:t>0/R0</w:t>
      </w:r>
      <w:r>
        <w:t>30</w:t>
      </w:r>
      <w:r w:rsidRPr="00512A6C">
        <w:t xml:space="preserve">0 </w:t>
      </w:r>
      <w:r>
        <w:t>are replaced with the following</w:t>
      </w:r>
      <w:r w:rsidRPr="00B64B4A">
        <w:t xml:space="preserve">: </w:t>
      </w:r>
    </w:p>
    <w:p w14:paraId="00204DDA" w14:textId="1C6C30DD" w:rsidR="004F5232" w:rsidRPr="00B64B4A" w:rsidRDefault="004F5232" w:rsidP="004F5232">
      <w:pPr>
        <w:pStyle w:val="Luettelokappale"/>
        <w:ind w:left="993"/>
      </w:pPr>
      <w:r>
        <w:t>“</w:t>
      </w:r>
    </w:p>
    <w:tbl>
      <w:tblPr>
        <w:tblW w:w="8646" w:type="dxa"/>
        <w:tblInd w:w="1101" w:type="dxa"/>
        <w:tblLook w:val="04A0" w:firstRow="1" w:lastRow="0" w:firstColumn="1" w:lastColumn="0" w:noHBand="0" w:noVBand="1"/>
      </w:tblPr>
      <w:tblGrid>
        <w:gridCol w:w="1451"/>
        <w:gridCol w:w="2337"/>
        <w:gridCol w:w="4858"/>
      </w:tblGrid>
      <w:tr w:rsidR="00A44E13" w:rsidRPr="00A44E13" w14:paraId="4792B8EF" w14:textId="77777777" w:rsidTr="00BC052D">
        <w:trPr>
          <w:trHeight w:val="1262"/>
        </w:trPr>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7B3EFBFA" w14:textId="77777777" w:rsidR="00A44E13" w:rsidRPr="004F5232" w:rsidRDefault="00A44E13" w:rsidP="00A44E13">
            <w:pPr>
              <w:rPr>
                <w:sz w:val="22"/>
                <w:szCs w:val="22"/>
              </w:rPr>
            </w:pPr>
            <w:r w:rsidRPr="004F5232">
              <w:rPr>
                <w:sz w:val="22"/>
                <w:szCs w:val="22"/>
              </w:rPr>
              <w:t>C0090/R0300</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3A55B0D0" w14:textId="56D7A00D" w:rsidR="00A44E13" w:rsidRPr="004F5232" w:rsidRDefault="00A44E13" w:rsidP="00A44E13">
            <w:pPr>
              <w:rPr>
                <w:sz w:val="22"/>
                <w:szCs w:val="22"/>
              </w:rPr>
            </w:pPr>
            <w:r w:rsidRPr="004F5232">
              <w:rPr>
                <w:sz w:val="22"/>
                <w:szCs w:val="22"/>
                <w:lang w:val="en-US"/>
              </w:rPr>
              <w:t>Net variation for index-linked and unit-linked business</w:t>
            </w:r>
          </w:p>
        </w:tc>
        <w:tc>
          <w:tcPr>
            <w:tcW w:w="4858" w:type="dxa"/>
            <w:tcBorders>
              <w:top w:val="single" w:sz="4" w:space="0" w:color="auto"/>
              <w:left w:val="single" w:sz="4" w:space="0" w:color="auto"/>
              <w:bottom w:val="single" w:sz="4" w:space="0" w:color="auto"/>
              <w:right w:val="single" w:sz="4" w:space="0" w:color="auto"/>
            </w:tcBorders>
            <w:shd w:val="clear" w:color="auto" w:fill="auto"/>
            <w:hideMark/>
          </w:tcPr>
          <w:p w14:paraId="046CF34F" w14:textId="281C6AF5" w:rsidR="00A44E13" w:rsidRPr="004F5232" w:rsidRDefault="00A44E13" w:rsidP="00A44E13">
            <w:pPr>
              <w:rPr>
                <w:sz w:val="22"/>
                <w:szCs w:val="22"/>
              </w:rPr>
            </w:pPr>
            <w:r w:rsidRPr="004F5232">
              <w:rPr>
                <w:sz w:val="22"/>
                <w:szCs w:val="22"/>
              </w:rPr>
              <w:t>Amount shall represent the net variation, in Balance Sheet, of the Assets held for index–linked and unit–linked funds  and of technical provisions – index-linked and unit-linked (calculated as best estimate and risk margin or calculate as a whole).</w:t>
            </w:r>
          </w:p>
          <w:p w14:paraId="62BEC5B6" w14:textId="77777777" w:rsidR="00A44E13" w:rsidRPr="004F5232" w:rsidRDefault="00A44E13" w:rsidP="00A44E13">
            <w:pPr>
              <w:rPr>
                <w:sz w:val="22"/>
                <w:szCs w:val="22"/>
              </w:rPr>
            </w:pPr>
          </w:p>
          <w:p w14:paraId="4BB3B0CE" w14:textId="77777777" w:rsidR="00A44E13" w:rsidRPr="004F5232" w:rsidRDefault="00A44E13" w:rsidP="00A44E13">
            <w:pPr>
              <w:rPr>
                <w:sz w:val="22"/>
                <w:szCs w:val="22"/>
              </w:rPr>
            </w:pPr>
          </w:p>
        </w:tc>
      </w:tr>
    </w:tbl>
    <w:p w14:paraId="458ADCA2" w14:textId="50B8219B" w:rsidR="00A44E13" w:rsidRDefault="004F5232" w:rsidP="004E46A9">
      <w:pPr>
        <w:pStyle w:val="Luettelokappale"/>
        <w:ind w:left="993"/>
      </w:pPr>
      <w:r>
        <w:t>“;</w:t>
      </w:r>
    </w:p>
    <w:p w14:paraId="1505C073" w14:textId="23B36BFE" w:rsidR="0073589C" w:rsidRPr="00B64B4A" w:rsidRDefault="0073589C" w:rsidP="009A52E1">
      <w:pPr>
        <w:pStyle w:val="Luettelokappale"/>
        <w:numPr>
          <w:ilvl w:val="0"/>
          <w:numId w:val="29"/>
        </w:numPr>
        <w:ind w:left="993" w:hanging="709"/>
      </w:pPr>
      <w:r w:rsidRPr="00B64B4A">
        <w:t xml:space="preserve">In template </w:t>
      </w:r>
      <w:commentRangeStart w:id="43"/>
      <w:r w:rsidRPr="00B64B4A">
        <w:t>S.</w:t>
      </w:r>
      <w:r>
        <w:t>29</w:t>
      </w:r>
      <w:r w:rsidRPr="00B64B4A">
        <w:t>.0</w:t>
      </w:r>
      <w:r>
        <w:t xml:space="preserve">3 </w:t>
      </w:r>
      <w:commentRangeEnd w:id="43"/>
      <w:r w:rsidR="00CA3894" w:rsidRPr="009A52E1">
        <w:commentReference w:id="43"/>
      </w:r>
      <w:r>
        <w:t xml:space="preserve">the instructions for row </w:t>
      </w:r>
      <w:r w:rsidRPr="0073589C">
        <w:t xml:space="preserve">C0100–C0110/R0310 </w:t>
      </w:r>
      <w:r>
        <w:t>are replaced with the following</w:t>
      </w:r>
      <w:r w:rsidRPr="00B64B4A">
        <w:t xml:space="preserve">: </w:t>
      </w:r>
    </w:p>
    <w:p w14:paraId="5895C6CA" w14:textId="42EE1FD5" w:rsidR="0073589C" w:rsidRDefault="0073589C" w:rsidP="0073589C">
      <w:pPr>
        <w:pStyle w:val="Luettelokappale"/>
        <w:ind w:left="993"/>
      </w:pPr>
      <w:r>
        <w:t>“</w:t>
      </w:r>
      <w:r w:rsidRPr="0073589C">
        <w:t>Amount of written premiums under Solvency II, respectively for Life and Non–life.</w:t>
      </w:r>
      <w:r>
        <w:t xml:space="preserve"> </w:t>
      </w:r>
      <w:r w:rsidRPr="004817AE">
        <w:t>;</w:t>
      </w:r>
    </w:p>
    <w:p w14:paraId="7E08071C" w14:textId="77777777" w:rsidR="0073589C" w:rsidRDefault="0073589C" w:rsidP="004E46A9">
      <w:pPr>
        <w:pStyle w:val="Luettelokappale"/>
        <w:ind w:left="993"/>
      </w:pPr>
    </w:p>
    <w:p w14:paraId="4A1730A2" w14:textId="4950B206" w:rsidR="0073589C" w:rsidRPr="00EA3325" w:rsidRDefault="0073589C" w:rsidP="009A52E1">
      <w:pPr>
        <w:pStyle w:val="Luettelokappale"/>
        <w:numPr>
          <w:ilvl w:val="0"/>
          <w:numId w:val="29"/>
        </w:numPr>
        <w:ind w:left="993" w:hanging="709"/>
      </w:pPr>
      <w:r w:rsidRPr="00EA3325">
        <w:t xml:space="preserve">In template </w:t>
      </w:r>
      <w:commentRangeStart w:id="44"/>
      <w:r w:rsidRPr="00EA3325">
        <w:t xml:space="preserve">S.29.03 </w:t>
      </w:r>
      <w:commentRangeEnd w:id="44"/>
      <w:r w:rsidR="009E0FB1" w:rsidRPr="00EA3325">
        <w:commentReference w:id="44"/>
      </w:r>
      <w:r w:rsidRPr="00EA3325">
        <w:t xml:space="preserve">the instructions for row C0120–C0130/R0360 are replaced with the following: </w:t>
      </w:r>
    </w:p>
    <w:p w14:paraId="0FB2308B" w14:textId="77777777" w:rsidR="0073589C" w:rsidRPr="00EA3325" w:rsidRDefault="0073589C" w:rsidP="0073589C">
      <w:pPr>
        <w:pStyle w:val="Luettelokappale"/>
        <w:ind w:left="993"/>
      </w:pPr>
      <w:r w:rsidRPr="00EA3325">
        <w:t xml:space="preserve">“This calculation corresponds to the following principle : </w:t>
      </w:r>
    </w:p>
    <w:p w14:paraId="41FD0682" w14:textId="3F5CCE82" w:rsidR="0073589C" w:rsidRPr="00EA3325" w:rsidRDefault="0073589C" w:rsidP="009E0FB1">
      <w:pPr>
        <w:pStyle w:val="Luettelokappale"/>
        <w:numPr>
          <w:ilvl w:val="0"/>
          <w:numId w:val="22"/>
        </w:numPr>
      </w:pPr>
      <w:r w:rsidRPr="00EA3325">
        <w:t>consider the variation</w:t>
      </w:r>
      <w:r w:rsidR="00866881" w:rsidRPr="00EA3325">
        <w:t xml:space="preserve"> (</w:t>
      </w:r>
      <w:r w:rsidR="00EA3325" w:rsidRPr="00EA3325">
        <w:t>open</w:t>
      </w:r>
      <w:r w:rsidR="00866881" w:rsidRPr="00EA3325">
        <w:t xml:space="preserve">ing minus </w:t>
      </w:r>
      <w:r w:rsidR="00EA3325" w:rsidRPr="00EA3325">
        <w:t>closing</w:t>
      </w:r>
      <w:r w:rsidR="00866881" w:rsidRPr="00EA3325">
        <w:t>)</w:t>
      </w:r>
      <w:r w:rsidRPr="00EA3325">
        <w:t xml:space="preserve"> in BE, RM, TP calculated as a whole and transitional on Technical Provisions; </w:t>
      </w:r>
    </w:p>
    <w:p w14:paraId="22EF840B" w14:textId="575FBB9E" w:rsidR="0073589C" w:rsidRPr="00EA3325" w:rsidRDefault="0073589C" w:rsidP="009E0FB1">
      <w:pPr>
        <w:pStyle w:val="Luettelokappale"/>
        <w:numPr>
          <w:ilvl w:val="0"/>
          <w:numId w:val="22"/>
        </w:numPr>
      </w:pPr>
      <w:r w:rsidRPr="00EA3325">
        <w:t>add total amount of net technical flows, i.e.: inflows minus outflows (C0100/R0340 for Life and C0110/R0340 for Non–Life).</w:t>
      </w:r>
    </w:p>
    <w:p w14:paraId="298D4DD7" w14:textId="7B549CD0" w:rsidR="0011143D" w:rsidRPr="00EA3325" w:rsidRDefault="0073589C" w:rsidP="0011143D">
      <w:pPr>
        <w:pStyle w:val="Luettelokappale"/>
        <w:ind w:left="993"/>
      </w:pPr>
      <w:r w:rsidRPr="00EA3325">
        <w:t>”;</w:t>
      </w:r>
    </w:p>
    <w:p w14:paraId="0AC1F290" w14:textId="77777777" w:rsidR="0011143D" w:rsidRDefault="0011143D" w:rsidP="0011143D">
      <w:pPr>
        <w:pStyle w:val="Luettelokappale"/>
        <w:ind w:left="993"/>
      </w:pPr>
    </w:p>
    <w:p w14:paraId="4C1B9218" w14:textId="383A33F5" w:rsidR="00A35812" w:rsidRPr="00B64B4A" w:rsidRDefault="00A35812" w:rsidP="009A52E1">
      <w:pPr>
        <w:pStyle w:val="Luettelokappale"/>
        <w:numPr>
          <w:ilvl w:val="0"/>
          <w:numId w:val="29"/>
        </w:numPr>
        <w:ind w:left="993" w:hanging="709"/>
      </w:pPr>
      <w:r w:rsidRPr="00B64B4A">
        <w:t xml:space="preserve">In template </w:t>
      </w:r>
      <w:commentRangeStart w:id="45"/>
      <w:r w:rsidRPr="00B64B4A">
        <w:t>S.</w:t>
      </w:r>
      <w:r>
        <w:t>29</w:t>
      </w:r>
      <w:r w:rsidRPr="00B64B4A">
        <w:t>.0</w:t>
      </w:r>
      <w:r>
        <w:t xml:space="preserve">4 </w:t>
      </w:r>
      <w:commentRangeEnd w:id="45"/>
      <w:r w:rsidR="004371FB" w:rsidRPr="009A52E1">
        <w:commentReference w:id="45"/>
      </w:r>
      <w:r>
        <w:t>the instructions for row C0030/R008</w:t>
      </w:r>
      <w:r w:rsidRPr="00EC47DC">
        <w:t>0</w:t>
      </w:r>
      <w:r>
        <w:t xml:space="preserve"> are replaced with the following</w:t>
      </w:r>
      <w:r w:rsidRPr="00B64B4A">
        <w:t xml:space="preserve">: </w:t>
      </w:r>
    </w:p>
    <w:p w14:paraId="7ACB4579" w14:textId="2E92BC19" w:rsidR="00A35812" w:rsidRPr="004F5232" w:rsidRDefault="00A35812" w:rsidP="00A35812">
      <w:pPr>
        <w:pStyle w:val="Luettelokappale"/>
        <w:ind w:left="993"/>
      </w:pPr>
      <w:r>
        <w:t>“</w:t>
      </w:r>
      <w:r w:rsidRPr="004F5232">
        <w:t>Corresponds to part of written premiums related to risks covered after the period, i.e. premiums to be earned after the period.</w:t>
      </w:r>
    </w:p>
    <w:p w14:paraId="6E0D8669" w14:textId="2308A063" w:rsidR="00A35812" w:rsidRPr="004F5232" w:rsidRDefault="00A35812" w:rsidP="00A35812">
      <w:pPr>
        <w:pStyle w:val="Luettelokappale"/>
        <w:ind w:left="993"/>
      </w:pPr>
      <w:r w:rsidRPr="004F5232">
        <w:t>In addition, allocation keys may be used to identify this part of the premiums affected to risks covered after the period.”;</w:t>
      </w:r>
    </w:p>
    <w:p w14:paraId="1CFDC16C" w14:textId="77777777" w:rsidR="00386B35" w:rsidRPr="0011143D" w:rsidRDefault="00386B35" w:rsidP="00A35812">
      <w:pPr>
        <w:pStyle w:val="Luettelokappale"/>
        <w:ind w:left="993"/>
      </w:pPr>
    </w:p>
    <w:p w14:paraId="60036C29" w14:textId="750EBFEA" w:rsidR="00692173" w:rsidRPr="00B64B4A" w:rsidRDefault="00692173" w:rsidP="009A52E1">
      <w:pPr>
        <w:pStyle w:val="Luettelokappale"/>
        <w:numPr>
          <w:ilvl w:val="0"/>
          <w:numId w:val="29"/>
        </w:numPr>
        <w:ind w:left="993" w:hanging="709"/>
      </w:pPr>
      <w:r w:rsidRPr="00B64B4A">
        <w:t xml:space="preserve">In template </w:t>
      </w:r>
      <w:commentRangeStart w:id="46"/>
      <w:r w:rsidRPr="00B64B4A">
        <w:t>S.</w:t>
      </w:r>
      <w:r>
        <w:t>29</w:t>
      </w:r>
      <w:r w:rsidRPr="00B64B4A">
        <w:t>.0</w:t>
      </w:r>
      <w:r>
        <w:t xml:space="preserve">4 </w:t>
      </w:r>
      <w:commentRangeEnd w:id="46"/>
      <w:r w:rsidR="004610A0" w:rsidRPr="009A52E1">
        <w:commentReference w:id="46"/>
      </w:r>
      <w:r>
        <w:t>the instructions for row C0030/R011</w:t>
      </w:r>
      <w:r w:rsidRPr="00EC47DC">
        <w:t>0</w:t>
      </w:r>
      <w:r>
        <w:t xml:space="preserve"> are replaced with the following</w:t>
      </w:r>
      <w:r w:rsidRPr="00B64B4A">
        <w:t xml:space="preserve">: </w:t>
      </w:r>
    </w:p>
    <w:p w14:paraId="53D8AB0E" w14:textId="77777777" w:rsidR="00692173" w:rsidRPr="00692173" w:rsidRDefault="00692173" w:rsidP="00692173">
      <w:pPr>
        <w:pStyle w:val="Luettelokappale"/>
        <w:ind w:left="993"/>
      </w:pPr>
      <w:r>
        <w:t>“</w:t>
      </w:r>
      <w:r w:rsidRPr="00692173">
        <w:t>This variation of BE shall correspond to the sum of cells C0050/R0190 from template S.29.03 and C0060/R0190 from template S.29.03. if the analysis in S.29.03 is performed on a line of business basis.</w:t>
      </w:r>
    </w:p>
    <w:p w14:paraId="3A27178C" w14:textId="77777777" w:rsidR="00692173" w:rsidRPr="004F5232" w:rsidRDefault="00692173" w:rsidP="00692173">
      <w:pPr>
        <w:pStyle w:val="Luettelokappale"/>
        <w:ind w:left="993"/>
      </w:pPr>
      <w:r w:rsidRPr="00692173">
        <w:t xml:space="preserve">The amount refers to changes in (part of) Premiums Provisions (i.e. in relation to all recognised obligations </w:t>
      </w:r>
      <w:r w:rsidRPr="004F5232">
        <w:t>within the boundary of the contract at the valuation date where the claim has not yet occurred) as follows:</w:t>
      </w:r>
    </w:p>
    <w:p w14:paraId="08BF1913" w14:textId="29DC65AB" w:rsidR="00692173" w:rsidRPr="004F5232" w:rsidRDefault="000F2822" w:rsidP="00692173">
      <w:pPr>
        <w:pStyle w:val="Luettelokappale"/>
        <w:ind w:left="993"/>
      </w:pPr>
      <w:r w:rsidRPr="004F5232">
        <w:t>-</w:t>
      </w:r>
      <w:r w:rsidR="00692173" w:rsidRPr="004F5232">
        <w:t xml:space="preserve"> Identify the part of premiums provisions at end of year (N) related to a coverage period starting after the closing </w:t>
      </w:r>
      <w:r w:rsidR="002A5CD4" w:rsidRPr="004F5232">
        <w:t>year-end</w:t>
      </w:r>
      <w:r w:rsidR="00692173" w:rsidRPr="004F5232">
        <w:t xml:space="preserve"> N</w:t>
      </w:r>
    </w:p>
    <w:p w14:paraId="26319EC2" w14:textId="49C73CF5" w:rsidR="00692173" w:rsidRPr="004F5232" w:rsidRDefault="000F2822" w:rsidP="00692173">
      <w:pPr>
        <w:pStyle w:val="Luettelokappale"/>
        <w:ind w:left="993"/>
      </w:pPr>
      <w:r w:rsidRPr="004F5232">
        <w:t>- I</w:t>
      </w:r>
      <w:r w:rsidR="00692173" w:rsidRPr="004F5232">
        <w:t xml:space="preserve">dentify the part of premiums provisions at the end of year (N–1) related to a coverage period starting after the closing </w:t>
      </w:r>
      <w:r w:rsidR="002A5CD4" w:rsidRPr="004F5232">
        <w:t>year-end</w:t>
      </w:r>
      <w:r w:rsidR="00692173" w:rsidRPr="004F5232">
        <w:t xml:space="preserve"> N (i.e</w:t>
      </w:r>
      <w:r w:rsidR="00657FC2" w:rsidRPr="004F5232">
        <w:t>.</w:t>
      </w:r>
      <w:r w:rsidR="00692173" w:rsidRPr="004F5232">
        <w:t xml:space="preserve"> in case of premiums provisions in relation to obligations on more than one future reporting period)</w:t>
      </w:r>
    </w:p>
    <w:p w14:paraId="2F3A8F23" w14:textId="7DC2E13E" w:rsidR="00692173" w:rsidRDefault="00692173" w:rsidP="00692173">
      <w:pPr>
        <w:pStyle w:val="Luettelokappale"/>
        <w:ind w:left="993"/>
      </w:pPr>
      <w:r w:rsidRPr="00692173">
        <w:t>In case Premiums Provisions at year end (N–1) includes amount for which claims occurred during year N, this amount shall not be considered in Variation of BE on risks covered after the period, but, instead in Variation of BE on risks covered during the period, as this provision turned to Claims provisions.</w:t>
      </w:r>
      <w:r>
        <w:t>”;</w:t>
      </w:r>
    </w:p>
    <w:p w14:paraId="576A609C" w14:textId="77777777" w:rsidR="00386B35" w:rsidRPr="0011143D" w:rsidRDefault="00386B35" w:rsidP="00692173">
      <w:pPr>
        <w:pStyle w:val="Luettelokappale"/>
        <w:ind w:left="993"/>
      </w:pPr>
    </w:p>
    <w:p w14:paraId="2CA94F23" w14:textId="436B8EC1" w:rsidR="00887B51" w:rsidRPr="00B64B4A" w:rsidRDefault="00887B51" w:rsidP="009A52E1">
      <w:pPr>
        <w:pStyle w:val="Luettelokappale"/>
        <w:numPr>
          <w:ilvl w:val="0"/>
          <w:numId w:val="29"/>
        </w:numPr>
        <w:ind w:left="993" w:hanging="709"/>
      </w:pPr>
      <w:r w:rsidRPr="00B64B4A">
        <w:t xml:space="preserve">In template </w:t>
      </w:r>
      <w:commentRangeStart w:id="47"/>
      <w:r w:rsidRPr="00B64B4A">
        <w:t>S.</w:t>
      </w:r>
      <w:r>
        <w:t>29</w:t>
      </w:r>
      <w:r w:rsidRPr="00B64B4A">
        <w:t>.0</w:t>
      </w:r>
      <w:r>
        <w:t xml:space="preserve">4 </w:t>
      </w:r>
      <w:commentRangeEnd w:id="47"/>
      <w:r w:rsidR="000F2822" w:rsidRPr="009A52E1">
        <w:commentReference w:id="47"/>
      </w:r>
      <w:r>
        <w:t>the instructions for row C0040/R011</w:t>
      </w:r>
      <w:r w:rsidRPr="00EC47DC">
        <w:t>0</w:t>
      </w:r>
      <w:r>
        <w:t xml:space="preserve"> are replaced with the following</w:t>
      </w:r>
      <w:r w:rsidRPr="00B64B4A">
        <w:t xml:space="preserve">: </w:t>
      </w:r>
    </w:p>
    <w:p w14:paraId="600CC949" w14:textId="77777777" w:rsidR="00887B51" w:rsidRPr="00887B51" w:rsidRDefault="00887B51" w:rsidP="009A52E1">
      <w:pPr>
        <w:pStyle w:val="Luettelokappale"/>
        <w:ind w:left="993"/>
      </w:pPr>
      <w:r>
        <w:t>“</w:t>
      </w:r>
      <w:r w:rsidRPr="00887B51">
        <w:t xml:space="preserve">Amount of the variation of best estimate for the risks covered during the period. </w:t>
      </w:r>
    </w:p>
    <w:p w14:paraId="6592D4E7" w14:textId="77777777" w:rsidR="00887B51" w:rsidRPr="00887B51" w:rsidRDefault="00887B51" w:rsidP="00887B51">
      <w:pPr>
        <w:pStyle w:val="Luettelokappale"/>
        <w:ind w:left="993"/>
      </w:pPr>
    </w:p>
    <w:p w14:paraId="4CFE8486" w14:textId="77777777" w:rsidR="00887B51" w:rsidRPr="00887B51" w:rsidRDefault="00887B51" w:rsidP="00887B51">
      <w:pPr>
        <w:pStyle w:val="Luettelokappale"/>
        <w:ind w:left="993"/>
      </w:pPr>
      <w:r w:rsidRPr="00887B51">
        <w:t>For risks covered during the period: this variation of BE shall correspond to the sum of cells C0050/R0200 from template S.29.03 and C0060/R0200 from template S.29.03. if the analysis in S.29.03 is performed on a line of business basis.</w:t>
      </w:r>
    </w:p>
    <w:p w14:paraId="5B2EE404" w14:textId="77777777" w:rsidR="00887B51" w:rsidRPr="00887B51" w:rsidRDefault="00887B51" w:rsidP="00887B51">
      <w:pPr>
        <w:pStyle w:val="Luettelokappale"/>
        <w:ind w:left="993"/>
      </w:pPr>
      <w:r w:rsidRPr="00887B51">
        <w:t>The amount refers to the following cases:</w:t>
      </w:r>
    </w:p>
    <w:p w14:paraId="30EE5767" w14:textId="77777777" w:rsidR="00887B51" w:rsidRPr="004F5232" w:rsidRDefault="00887B51" w:rsidP="00887B51">
      <w:pPr>
        <w:pStyle w:val="Luettelokappale"/>
        <w:ind w:left="993"/>
      </w:pPr>
      <w:r w:rsidRPr="00887B51">
        <w:t xml:space="preserve">a) Premiums Provisions at Year end N–1 which turned to Claims Provisions at year end N </w:t>
      </w:r>
      <w:r w:rsidRPr="004F5232">
        <w:t>because claim has occurred during the period</w:t>
      </w:r>
    </w:p>
    <w:p w14:paraId="429BDE1D" w14:textId="77777777" w:rsidR="00887B51" w:rsidRPr="004F5232" w:rsidRDefault="00887B51" w:rsidP="00887B51">
      <w:pPr>
        <w:pStyle w:val="Luettelokappale"/>
        <w:ind w:left="993"/>
      </w:pPr>
      <w:r w:rsidRPr="004F5232">
        <w:t>b) Claims provisions related to claims occurred during the period (for which there was no Premiums provisions at year end N–1)</w:t>
      </w:r>
    </w:p>
    <w:p w14:paraId="70A4D440" w14:textId="3B9EC49A" w:rsidR="00887B51" w:rsidRPr="004F5232" w:rsidRDefault="00887B51" w:rsidP="00887B51">
      <w:pPr>
        <w:pStyle w:val="Luettelokappale"/>
        <w:ind w:left="993"/>
      </w:pPr>
      <w:r w:rsidRPr="004F5232">
        <w:t>Calculation may be as follows:</w:t>
      </w:r>
    </w:p>
    <w:p w14:paraId="7E6F93A8" w14:textId="23311AA6" w:rsidR="00887B51" w:rsidRPr="004F5232" w:rsidRDefault="00887B51" w:rsidP="000F2822">
      <w:pPr>
        <w:pStyle w:val="Luettelokappale"/>
        <w:numPr>
          <w:ilvl w:val="0"/>
          <w:numId w:val="22"/>
        </w:numPr>
      </w:pPr>
      <w:r w:rsidRPr="004F5232">
        <w:t xml:space="preserve">Identify the part of claims provisions at </w:t>
      </w:r>
      <w:r w:rsidR="008B3AFE" w:rsidRPr="004F5232">
        <w:t>y</w:t>
      </w:r>
      <w:r w:rsidRPr="004F5232">
        <w:t>ear</w:t>
      </w:r>
      <w:r w:rsidR="008B3AFE" w:rsidRPr="004F5232">
        <w:t>-</w:t>
      </w:r>
      <w:r w:rsidRPr="004F5232">
        <w:t xml:space="preserve">end (N) related to risks covered during the period. </w:t>
      </w:r>
    </w:p>
    <w:p w14:paraId="19809057" w14:textId="5459D035" w:rsidR="00887B51" w:rsidRPr="004F5232" w:rsidRDefault="00887B51" w:rsidP="000F2822">
      <w:pPr>
        <w:pStyle w:val="Luettelokappale"/>
        <w:numPr>
          <w:ilvl w:val="0"/>
          <w:numId w:val="22"/>
        </w:numPr>
      </w:pPr>
      <w:r w:rsidRPr="004F5232">
        <w:t xml:space="preserve">Identify the part of claims provisions at </w:t>
      </w:r>
      <w:r w:rsidR="008B3AFE" w:rsidRPr="004F5232">
        <w:t>y</w:t>
      </w:r>
      <w:r w:rsidRPr="004F5232">
        <w:t>ear</w:t>
      </w:r>
      <w:r w:rsidR="008B3AFE" w:rsidRPr="004F5232">
        <w:t>-</w:t>
      </w:r>
      <w:r w:rsidRPr="004F5232">
        <w:t xml:space="preserve">end (N-1) related to risks covered during the period </w:t>
      </w:r>
      <w:r w:rsidR="000F2822" w:rsidRPr="004F5232">
        <w:t>.</w:t>
      </w:r>
      <w:r w:rsidRPr="004F5232">
        <w:t xml:space="preserve"> </w:t>
      </w:r>
    </w:p>
    <w:p w14:paraId="099F3EF8" w14:textId="22455108" w:rsidR="00887B51" w:rsidRPr="004F5232" w:rsidRDefault="00887B51" w:rsidP="00887B51">
      <w:pPr>
        <w:pStyle w:val="Luettelokappale"/>
        <w:ind w:left="993"/>
      </w:pPr>
      <w:r w:rsidRPr="004F5232">
        <w:t>Derive the variation from the two figures.”;</w:t>
      </w:r>
    </w:p>
    <w:p w14:paraId="584270AE" w14:textId="77777777" w:rsidR="00386B35" w:rsidRPr="0011143D" w:rsidRDefault="00386B35" w:rsidP="00887B51">
      <w:pPr>
        <w:pStyle w:val="Luettelokappale"/>
        <w:ind w:left="993"/>
      </w:pPr>
    </w:p>
    <w:p w14:paraId="391B339A" w14:textId="11BFED99" w:rsidR="009506DF" w:rsidRDefault="009506DF" w:rsidP="009A52E1">
      <w:pPr>
        <w:pStyle w:val="Luettelokappale"/>
        <w:numPr>
          <w:ilvl w:val="0"/>
          <w:numId w:val="29"/>
        </w:numPr>
        <w:ind w:left="993" w:hanging="709"/>
      </w:pPr>
      <w:r w:rsidRPr="00B64B4A">
        <w:t xml:space="preserve">In template </w:t>
      </w:r>
      <w:commentRangeStart w:id="48"/>
      <w:r w:rsidRPr="00B64B4A">
        <w:t>S.</w:t>
      </w:r>
      <w:r>
        <w:t>29</w:t>
      </w:r>
      <w:r w:rsidRPr="00B64B4A">
        <w:t>.0</w:t>
      </w:r>
      <w:r>
        <w:t xml:space="preserve">4 </w:t>
      </w:r>
      <w:commentRangeEnd w:id="48"/>
      <w:r w:rsidR="000F2822" w:rsidRPr="009A52E1">
        <w:commentReference w:id="48"/>
      </w:r>
      <w:r>
        <w:t xml:space="preserve">before the instructions for row </w:t>
      </w:r>
      <w:r w:rsidRPr="009506DF">
        <w:t>C0050/R0090</w:t>
      </w:r>
      <w:r>
        <w:t xml:space="preserve"> the following row is added</w:t>
      </w:r>
      <w:r w:rsidRPr="00B64B4A">
        <w:t xml:space="preserve">: </w:t>
      </w:r>
    </w:p>
    <w:p w14:paraId="44481721" w14:textId="687B7D0B" w:rsidR="004F5232" w:rsidRPr="00B64B4A" w:rsidRDefault="004F5232" w:rsidP="004F5232">
      <w:pPr>
        <w:pStyle w:val="Luettelokappale"/>
        <w:ind w:left="993"/>
      </w:pPr>
      <w:r>
        <w:t>“</w:t>
      </w:r>
    </w:p>
    <w:tbl>
      <w:tblPr>
        <w:tblW w:w="8042" w:type="dxa"/>
        <w:jc w:val="center"/>
        <w:tblLook w:val="04A0" w:firstRow="1" w:lastRow="0" w:firstColumn="1" w:lastColumn="0" w:noHBand="0" w:noVBand="1"/>
      </w:tblPr>
      <w:tblGrid>
        <w:gridCol w:w="1339"/>
        <w:gridCol w:w="2081"/>
        <w:gridCol w:w="4622"/>
      </w:tblGrid>
      <w:tr w:rsidR="009506DF" w:rsidRPr="00DF07B0" w14:paraId="3E987E62" w14:textId="77777777" w:rsidTr="004F5232">
        <w:trPr>
          <w:trHeight w:val="97"/>
          <w:jc w:val="center"/>
        </w:trPr>
        <w:tc>
          <w:tcPr>
            <w:tcW w:w="948" w:type="dxa"/>
            <w:tcBorders>
              <w:top w:val="single" w:sz="4" w:space="0" w:color="auto"/>
              <w:left w:val="single" w:sz="4" w:space="0" w:color="auto"/>
              <w:bottom w:val="single" w:sz="4" w:space="0" w:color="auto"/>
              <w:right w:val="single" w:sz="4" w:space="0" w:color="auto"/>
            </w:tcBorders>
            <w:shd w:val="clear" w:color="auto" w:fill="auto"/>
            <w:hideMark/>
          </w:tcPr>
          <w:p w14:paraId="34F0AE84" w14:textId="77777777" w:rsidR="009506DF" w:rsidRPr="00285086" w:rsidRDefault="009506DF" w:rsidP="00E51B4B">
            <w:pPr>
              <w:rPr>
                <w:sz w:val="20"/>
                <w:szCs w:val="20"/>
              </w:rPr>
            </w:pPr>
            <w:r w:rsidRPr="008B3312">
              <w:rPr>
                <w:sz w:val="20"/>
                <w:szCs w:val="20"/>
              </w:rPr>
              <w:t>C0050/R00</w:t>
            </w:r>
            <w:r>
              <w:rPr>
                <w:sz w:val="20"/>
                <w:szCs w:val="20"/>
              </w:rPr>
              <w:t>8</w:t>
            </w:r>
            <w:r w:rsidRPr="008B3312">
              <w:rPr>
                <w:sz w:val="20"/>
                <w:szCs w:val="20"/>
              </w:rPr>
              <w:t>0</w:t>
            </w:r>
          </w:p>
        </w:tc>
        <w:tc>
          <w:tcPr>
            <w:tcW w:w="2174" w:type="dxa"/>
            <w:tcBorders>
              <w:top w:val="single" w:sz="4" w:space="0" w:color="auto"/>
              <w:left w:val="single" w:sz="4" w:space="0" w:color="auto"/>
              <w:bottom w:val="single" w:sz="4" w:space="0" w:color="auto"/>
              <w:right w:val="single" w:sz="4" w:space="0" w:color="auto"/>
            </w:tcBorders>
            <w:shd w:val="clear" w:color="auto" w:fill="auto"/>
            <w:hideMark/>
          </w:tcPr>
          <w:p w14:paraId="1063CD61" w14:textId="77777777" w:rsidR="009506DF" w:rsidRPr="00DF07B0" w:rsidRDefault="009506DF" w:rsidP="00E51B4B">
            <w:pPr>
              <w:rPr>
                <w:sz w:val="20"/>
                <w:szCs w:val="20"/>
              </w:rPr>
            </w:pPr>
            <w:r w:rsidRPr="00393BBA">
              <w:rPr>
                <w:sz w:val="20"/>
                <w:szCs w:val="20"/>
              </w:rPr>
              <w:t xml:space="preserve">Premiums earned/to be earned </w:t>
            </w:r>
          </w:p>
        </w:tc>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5FCACA65" w14:textId="77777777" w:rsidR="009506DF" w:rsidRPr="00393BBA" w:rsidRDefault="009506DF" w:rsidP="00E51B4B">
            <w:pPr>
              <w:rPr>
                <w:sz w:val="20"/>
                <w:szCs w:val="20"/>
              </w:rPr>
            </w:pPr>
            <w:r w:rsidRPr="00393BBA">
              <w:rPr>
                <w:sz w:val="20"/>
                <w:szCs w:val="20"/>
              </w:rPr>
              <w:t xml:space="preserve">Corresponds to part of premiums related to risks covered </w:t>
            </w:r>
            <w:r>
              <w:rPr>
                <w:sz w:val="20"/>
                <w:szCs w:val="20"/>
              </w:rPr>
              <w:t>prior to</w:t>
            </w:r>
            <w:r w:rsidRPr="00393BBA">
              <w:rPr>
                <w:sz w:val="20"/>
                <w:szCs w:val="20"/>
              </w:rPr>
              <w:t xml:space="preserve"> the period, i.e. earned premiums under Solvency II principles</w:t>
            </w:r>
            <w:r>
              <w:rPr>
                <w:sz w:val="20"/>
                <w:szCs w:val="20"/>
              </w:rPr>
              <w:t xml:space="preserve"> (when the </w:t>
            </w:r>
            <w:r w:rsidRPr="00704CF8">
              <w:rPr>
                <w:sz w:val="20"/>
                <w:szCs w:val="20"/>
              </w:rPr>
              <w:t>premium is only due after the coverage period)</w:t>
            </w:r>
            <w:r w:rsidRPr="00393BBA">
              <w:rPr>
                <w:sz w:val="20"/>
                <w:szCs w:val="20"/>
              </w:rPr>
              <w:t>.</w:t>
            </w:r>
          </w:p>
          <w:p w14:paraId="01C35B76" w14:textId="77777777" w:rsidR="009506DF" w:rsidRPr="00DF07B0" w:rsidRDefault="009506DF" w:rsidP="00E51B4B">
            <w:pPr>
              <w:rPr>
                <w:sz w:val="20"/>
                <w:szCs w:val="20"/>
              </w:rPr>
            </w:pPr>
            <w:r w:rsidRPr="00393BBA">
              <w:rPr>
                <w:sz w:val="20"/>
                <w:szCs w:val="20"/>
              </w:rPr>
              <w:t>In addition, allocation keys may be used to ide</w:t>
            </w:r>
            <w:r>
              <w:rPr>
                <w:sz w:val="20"/>
                <w:szCs w:val="20"/>
              </w:rPr>
              <w:t>ntify this part of the premiums.</w:t>
            </w:r>
          </w:p>
        </w:tc>
      </w:tr>
    </w:tbl>
    <w:p w14:paraId="035BB0DC" w14:textId="6FC2B473" w:rsidR="009506DF" w:rsidRPr="0011143D" w:rsidRDefault="004F5232" w:rsidP="009506DF">
      <w:pPr>
        <w:pStyle w:val="Luettelokappale"/>
        <w:ind w:left="993"/>
      </w:pPr>
      <w:r>
        <w:t>“</w:t>
      </w:r>
      <w:r w:rsidR="009506DF">
        <w:t>;</w:t>
      </w:r>
    </w:p>
    <w:p w14:paraId="07E995B6" w14:textId="77777777" w:rsidR="00386B35" w:rsidRDefault="00386B35" w:rsidP="00386B35">
      <w:pPr>
        <w:pStyle w:val="Luettelokappale"/>
        <w:ind w:left="993"/>
      </w:pPr>
    </w:p>
    <w:p w14:paraId="40B31096" w14:textId="4943DE80" w:rsidR="00CA329D" w:rsidRPr="00B64B4A" w:rsidRDefault="00CA329D" w:rsidP="009A52E1">
      <w:pPr>
        <w:pStyle w:val="Luettelokappale"/>
        <w:numPr>
          <w:ilvl w:val="0"/>
          <w:numId w:val="29"/>
        </w:numPr>
        <w:ind w:left="993" w:hanging="709"/>
      </w:pPr>
      <w:r w:rsidRPr="00B64B4A">
        <w:t xml:space="preserve">In template </w:t>
      </w:r>
      <w:commentRangeStart w:id="49"/>
      <w:r w:rsidRPr="00B64B4A">
        <w:t>S.</w:t>
      </w:r>
      <w:r>
        <w:t>29</w:t>
      </w:r>
      <w:r w:rsidRPr="00B64B4A">
        <w:t>.0</w:t>
      </w:r>
      <w:r>
        <w:t xml:space="preserve">4 </w:t>
      </w:r>
      <w:commentRangeEnd w:id="49"/>
      <w:r w:rsidR="009A4C7F" w:rsidRPr="009A52E1">
        <w:commentReference w:id="49"/>
      </w:r>
      <w:r>
        <w:t>the instructions for row C0050/R011</w:t>
      </w:r>
      <w:r w:rsidRPr="00EC47DC">
        <w:t>0</w:t>
      </w:r>
      <w:r>
        <w:t xml:space="preserve"> are replaced with the following</w:t>
      </w:r>
      <w:r w:rsidRPr="00B64B4A">
        <w:t xml:space="preserve">: </w:t>
      </w:r>
    </w:p>
    <w:p w14:paraId="312FE417" w14:textId="77777777" w:rsidR="00CA329D" w:rsidRPr="00CA329D" w:rsidRDefault="00CA329D" w:rsidP="00CA329D">
      <w:pPr>
        <w:pStyle w:val="Luettelokappale"/>
        <w:ind w:left="993"/>
      </w:pPr>
      <w:r>
        <w:t>“</w:t>
      </w:r>
      <w:r w:rsidRPr="00CA329D">
        <w:t>For risks covered prior to period corresponds to year N projected in and out technical flows for risks accepted prior to period.</w:t>
      </w:r>
    </w:p>
    <w:p w14:paraId="7EECDECD" w14:textId="77777777" w:rsidR="00CA329D" w:rsidRPr="004F5232" w:rsidRDefault="00CA329D" w:rsidP="00CA329D">
      <w:pPr>
        <w:pStyle w:val="Luettelokappale"/>
        <w:ind w:left="993"/>
      </w:pPr>
    </w:p>
    <w:p w14:paraId="602C6139" w14:textId="77777777" w:rsidR="00CA329D" w:rsidRPr="004F5232" w:rsidRDefault="00CA329D" w:rsidP="00CA329D">
      <w:pPr>
        <w:pStyle w:val="Luettelokappale"/>
        <w:ind w:left="993"/>
      </w:pPr>
      <w:r w:rsidRPr="004F5232">
        <w:t>The calculation may be as follows:</w:t>
      </w:r>
    </w:p>
    <w:p w14:paraId="219AA033" w14:textId="0AFAA86C" w:rsidR="00CA329D" w:rsidRPr="004F5232" w:rsidRDefault="00CA329D" w:rsidP="009A4C7F">
      <w:pPr>
        <w:pStyle w:val="Luettelokappale"/>
        <w:numPr>
          <w:ilvl w:val="0"/>
          <w:numId w:val="22"/>
        </w:numPr>
      </w:pPr>
      <w:r w:rsidRPr="004F5232">
        <w:t xml:space="preserve">Consider part of the Opening Best Estimate related to risks covered prior to period, i.e. Opening Best Estimate excluding Premiums provisions; </w:t>
      </w:r>
    </w:p>
    <w:p w14:paraId="44008BDC" w14:textId="44A3274C" w:rsidR="00CA329D" w:rsidRPr="004F5232" w:rsidRDefault="00CA329D" w:rsidP="009A4C7F">
      <w:pPr>
        <w:pStyle w:val="Luettelokappale"/>
        <w:numPr>
          <w:ilvl w:val="0"/>
          <w:numId w:val="22"/>
        </w:numPr>
      </w:pPr>
      <w:r w:rsidRPr="004F5232">
        <w:t>Isolate the amount of cash flows (cash in minus cash out) that were projected within this opening Best Estimate for the period considered;</w:t>
      </w:r>
    </w:p>
    <w:p w14:paraId="16D5AE6D" w14:textId="1E7D1A9B" w:rsidR="00CA329D" w:rsidRPr="004F5232" w:rsidRDefault="00CA329D" w:rsidP="009A4C7F">
      <w:pPr>
        <w:pStyle w:val="Luettelokappale"/>
        <w:numPr>
          <w:ilvl w:val="0"/>
          <w:numId w:val="22"/>
        </w:numPr>
      </w:pPr>
      <w:r w:rsidRPr="004F5232">
        <w:t>This isolated amount of cash flow shall come in addition to Opening Best Estimate (for neutralisation effect). ”;</w:t>
      </w:r>
    </w:p>
    <w:p w14:paraId="3BF1EBCC" w14:textId="77777777" w:rsidR="00386B35" w:rsidRPr="0011143D" w:rsidRDefault="00386B35" w:rsidP="00CA329D">
      <w:pPr>
        <w:pStyle w:val="Luettelokappale"/>
        <w:ind w:left="993"/>
      </w:pPr>
    </w:p>
    <w:p w14:paraId="02E7A55D" w14:textId="06A6BEA5" w:rsidR="00E264EE" w:rsidRPr="00B64B4A" w:rsidRDefault="00E264EE" w:rsidP="009A52E1">
      <w:pPr>
        <w:pStyle w:val="Luettelokappale"/>
        <w:numPr>
          <w:ilvl w:val="0"/>
          <w:numId w:val="29"/>
        </w:numPr>
        <w:ind w:left="993" w:hanging="709"/>
      </w:pPr>
      <w:r w:rsidRPr="00B64B4A">
        <w:t xml:space="preserve">In template </w:t>
      </w:r>
      <w:commentRangeStart w:id="50"/>
      <w:r w:rsidRPr="00B64B4A">
        <w:t>S.</w:t>
      </w:r>
      <w:r>
        <w:t>30</w:t>
      </w:r>
      <w:r w:rsidRPr="00B64B4A">
        <w:t>.0</w:t>
      </w:r>
      <w:r>
        <w:t xml:space="preserve">1 </w:t>
      </w:r>
      <w:commentRangeEnd w:id="50"/>
      <w:r w:rsidR="009A4C7F" w:rsidRPr="009A52E1">
        <w:commentReference w:id="50"/>
      </w:r>
      <w:r>
        <w:t>the fifth paragraph in the general comments section is replaced by the following</w:t>
      </w:r>
      <w:r w:rsidRPr="00B64B4A">
        <w:t xml:space="preserve">: </w:t>
      </w:r>
    </w:p>
    <w:p w14:paraId="0BBF9AC8" w14:textId="77777777" w:rsidR="00E264EE" w:rsidRDefault="00E264EE" w:rsidP="00E264EE">
      <w:pPr>
        <w:pStyle w:val="Luettelokappale"/>
        <w:ind w:left="993"/>
      </w:pPr>
    </w:p>
    <w:p w14:paraId="6F640936" w14:textId="39F5D17D" w:rsidR="00E264EE" w:rsidRDefault="00E264EE" w:rsidP="00A05BD8">
      <w:pPr>
        <w:pStyle w:val="Luettelokappale"/>
        <w:ind w:left="993"/>
        <w:jc w:val="both"/>
      </w:pPr>
      <w:r>
        <w:t>“</w:t>
      </w:r>
      <w:r w:rsidR="00E779CE">
        <w:t>This template is prospective (to be in line with S.30.03) and as such should reflect the treaties effective and valid during the next reporting year for the selected 10 most important risks in terms of reinsured exposure for each line of business. The most important risks of the next reporting period for which the validity date of the treaties cover as well the next reporting period should be reported. If reinsurance strategy changes materially after that date or if the renovation of the reinsurance contracts are performed later than the reporting date and before next 1 January, the information on this template shall be re–submitted when adequate.</w:t>
      </w:r>
      <w:r>
        <w:t>”;</w:t>
      </w:r>
    </w:p>
    <w:p w14:paraId="18E5325E" w14:textId="77777777" w:rsidR="005400DF" w:rsidRDefault="005400DF" w:rsidP="00DF4D3E">
      <w:pPr>
        <w:pStyle w:val="Luettelokappale"/>
        <w:ind w:left="993"/>
      </w:pPr>
    </w:p>
    <w:p w14:paraId="4FB925CE" w14:textId="7D51F5C5" w:rsidR="005400DF" w:rsidRPr="00B64B4A" w:rsidRDefault="005400DF" w:rsidP="009A52E1">
      <w:pPr>
        <w:pStyle w:val="Luettelokappale"/>
        <w:numPr>
          <w:ilvl w:val="0"/>
          <w:numId w:val="29"/>
        </w:numPr>
        <w:ind w:left="993" w:hanging="709"/>
      </w:pPr>
      <w:r w:rsidRPr="00B64B4A">
        <w:t xml:space="preserve">In template </w:t>
      </w:r>
      <w:commentRangeStart w:id="51"/>
      <w:r w:rsidRPr="00B64B4A">
        <w:t>S.</w:t>
      </w:r>
      <w:r>
        <w:t>30</w:t>
      </w:r>
      <w:r w:rsidRPr="00B64B4A">
        <w:t>.0</w:t>
      </w:r>
      <w:r>
        <w:t xml:space="preserve">2 </w:t>
      </w:r>
      <w:commentRangeEnd w:id="51"/>
      <w:r w:rsidRPr="009A52E1">
        <w:commentReference w:id="51"/>
      </w:r>
      <w:r>
        <w:t>the fifth paragraph in the general comments section is replaced by the following</w:t>
      </w:r>
      <w:r w:rsidRPr="00B64B4A">
        <w:t xml:space="preserve">: </w:t>
      </w:r>
    </w:p>
    <w:p w14:paraId="0CEC202A" w14:textId="77777777" w:rsidR="005400DF" w:rsidRDefault="005400DF" w:rsidP="005400DF">
      <w:pPr>
        <w:pStyle w:val="Luettelokappale"/>
        <w:ind w:left="993"/>
      </w:pPr>
    </w:p>
    <w:p w14:paraId="599A93F1" w14:textId="26726A80" w:rsidR="005400DF" w:rsidRPr="0011143D" w:rsidRDefault="005400DF" w:rsidP="00DF4D3E">
      <w:pPr>
        <w:pStyle w:val="Luettelokappale"/>
        <w:ind w:left="993"/>
        <w:jc w:val="both"/>
      </w:pPr>
      <w:r>
        <w:t>“</w:t>
      </w:r>
      <w:r w:rsidR="00E779CE">
        <w:t>This template is prospective (to be in line with S.30.03) and as such should reflect the treaties effective and valid during the next reporting year for the selected 10 most important risks in terms of reinsured exposure for each line of business. The most important risks of the next reporting period for which the validity date of the treaties cover as well the next reporting period should be reported. If reinsurance strategy changes materially after that date or if the renovation of the reinsurance contracts are performed later than the reporting date and before next 1 January, the information on this template shall be re–submitted when adequate.</w:t>
      </w:r>
      <w:r>
        <w:t>”;</w:t>
      </w:r>
    </w:p>
    <w:p w14:paraId="5815A8D1" w14:textId="77777777" w:rsidR="004E46A9" w:rsidRPr="00DF4D3E" w:rsidRDefault="004E46A9" w:rsidP="00127DF7">
      <w:pPr>
        <w:pStyle w:val="Luettelokappale"/>
        <w:ind w:left="993"/>
        <w:jc w:val="both"/>
        <w:rPr>
          <w:highlight w:val="yellow"/>
        </w:rPr>
      </w:pPr>
    </w:p>
    <w:p w14:paraId="694D73CB" w14:textId="2C3FB997" w:rsidR="009328D3" w:rsidRDefault="009328D3" w:rsidP="00FE438C">
      <w:pPr>
        <w:pStyle w:val="Luettelokappale"/>
        <w:numPr>
          <w:ilvl w:val="0"/>
          <w:numId w:val="17"/>
        </w:numPr>
        <w:jc w:val="both"/>
      </w:pPr>
      <w:r w:rsidRPr="00A02C05">
        <w:t>Annex I</w:t>
      </w:r>
      <w:r>
        <w:t>I</w:t>
      </w:r>
      <w:r w:rsidRPr="00A02C05">
        <w:t>I to Implementing Regulation (EU) 2015/2450 is amended as follows:</w:t>
      </w:r>
    </w:p>
    <w:p w14:paraId="48B32879" w14:textId="77777777" w:rsidR="009328D3" w:rsidRDefault="009328D3" w:rsidP="009328D3">
      <w:pPr>
        <w:pStyle w:val="Luettelokappale"/>
      </w:pPr>
    </w:p>
    <w:p w14:paraId="759491E2" w14:textId="0FECF430" w:rsidR="00EB4C65" w:rsidRPr="004F5232" w:rsidRDefault="00EB4C65" w:rsidP="009328D3">
      <w:pPr>
        <w:pStyle w:val="Luettelokappale"/>
        <w:numPr>
          <w:ilvl w:val="0"/>
          <w:numId w:val="25"/>
        </w:numPr>
      </w:pPr>
      <w:r w:rsidRPr="004F5232">
        <w:t xml:space="preserve">In template </w:t>
      </w:r>
      <w:commentRangeStart w:id="52"/>
      <w:r w:rsidRPr="004F5232">
        <w:t xml:space="preserve">S.06.02 </w:t>
      </w:r>
      <w:commentRangeEnd w:id="52"/>
      <w:r w:rsidR="00DF4D3E" w:rsidRPr="004F5232">
        <w:rPr>
          <w:rStyle w:val="Kommentinviite"/>
          <w:lang w:eastAsia="pt-PT"/>
        </w:rPr>
        <w:commentReference w:id="52"/>
      </w:r>
      <w:r w:rsidRPr="004F5232">
        <w:t xml:space="preserve">in the instructions </w:t>
      </w:r>
      <w:r w:rsidR="00DF4D3E" w:rsidRPr="004F5232">
        <w:t xml:space="preserve">for </w:t>
      </w:r>
      <w:r w:rsidR="00DF4D3E" w:rsidRPr="004F5232">
        <w:rPr>
          <w:rFonts w:ascii="Verdana" w:hAnsi="Verdana"/>
          <w:sz w:val="22"/>
          <w:szCs w:val="22"/>
        </w:rPr>
        <w:t xml:space="preserve">C0320 </w:t>
      </w:r>
      <w:r w:rsidRPr="004F5232">
        <w:t>the following is added at the end:</w:t>
      </w:r>
    </w:p>
    <w:p w14:paraId="104B5147" w14:textId="0C753B38" w:rsidR="00EB4C65" w:rsidRPr="004F5232" w:rsidRDefault="00EB4C65" w:rsidP="00DF4D3E">
      <w:pPr>
        <w:pStyle w:val="Luettelokappale"/>
      </w:pPr>
      <w:r w:rsidRPr="004F5232">
        <w:t>“In case “Multiple ECAI” is reported in C0330 report the most representative external rating.”</w:t>
      </w:r>
    </w:p>
    <w:p w14:paraId="086D9642" w14:textId="77777777" w:rsidR="00EB4C65" w:rsidRDefault="00EB4C65" w:rsidP="00DF4D3E"/>
    <w:p w14:paraId="242658A0" w14:textId="5B60155A" w:rsidR="009328D3" w:rsidRPr="004C66E0" w:rsidRDefault="009328D3" w:rsidP="009328D3">
      <w:pPr>
        <w:pStyle w:val="Luettelokappale"/>
        <w:numPr>
          <w:ilvl w:val="0"/>
          <w:numId w:val="25"/>
        </w:numPr>
      </w:pPr>
      <w:r w:rsidRPr="008C737E">
        <w:t>In</w:t>
      </w:r>
      <w:r>
        <w:t xml:space="preserve"> template </w:t>
      </w:r>
      <w:commentRangeStart w:id="53"/>
      <w:r>
        <w:t>S.06</w:t>
      </w:r>
      <w:r w:rsidRPr="008C737E">
        <w:t>.</w:t>
      </w:r>
      <w:r>
        <w:t xml:space="preserve">02 </w:t>
      </w:r>
      <w:commentRangeEnd w:id="53"/>
      <w:r w:rsidRPr="009328D3">
        <w:commentReference w:id="53"/>
      </w:r>
      <w:r>
        <w:t xml:space="preserve"> at the end of the closed list of ECAI in the instructions for column C0330 a new item is added as it follows:</w:t>
      </w:r>
    </w:p>
    <w:p w14:paraId="6E22B4E2" w14:textId="77777777" w:rsidR="009328D3" w:rsidRPr="004F5232" w:rsidRDefault="009328D3" w:rsidP="009328D3">
      <w:pPr>
        <w:pStyle w:val="Luettelokappale"/>
        <w:ind w:left="993"/>
      </w:pPr>
      <w:r w:rsidRPr="004F5232">
        <w:t>“-Multiple ECAI”;</w:t>
      </w:r>
    </w:p>
    <w:p w14:paraId="7BE89197" w14:textId="77777777" w:rsidR="009328D3" w:rsidRDefault="009328D3" w:rsidP="009328D3">
      <w:pPr>
        <w:pStyle w:val="Luettelokappale"/>
        <w:jc w:val="both"/>
      </w:pPr>
    </w:p>
    <w:p w14:paraId="3D319288" w14:textId="4F1BB65C" w:rsidR="00D67402" w:rsidRDefault="00D67402" w:rsidP="00FE438C">
      <w:pPr>
        <w:pStyle w:val="Luettelokappale"/>
        <w:numPr>
          <w:ilvl w:val="0"/>
          <w:numId w:val="17"/>
        </w:numPr>
        <w:jc w:val="both"/>
      </w:pPr>
      <w:r w:rsidRPr="00EC3B36">
        <w:t xml:space="preserve">Annex VI – </w:t>
      </w:r>
      <w:r w:rsidR="00EC3B36">
        <w:t xml:space="preserve">Definitions of the </w:t>
      </w:r>
      <w:r w:rsidRPr="00EC3B36">
        <w:t>CIC Table</w:t>
      </w:r>
      <w:r w:rsidR="00FE438C">
        <w:t xml:space="preserve"> </w:t>
      </w:r>
      <w:r w:rsidRPr="00EC3B36">
        <w:t>is amended as follows:</w:t>
      </w:r>
    </w:p>
    <w:p w14:paraId="0B8CA4C1" w14:textId="77777777" w:rsidR="00EC3B36" w:rsidRPr="00EC3B36" w:rsidRDefault="00EC3B36" w:rsidP="00EC3B36">
      <w:pPr>
        <w:pStyle w:val="Luettelokappale"/>
        <w:jc w:val="both"/>
      </w:pPr>
    </w:p>
    <w:p w14:paraId="74A429DD" w14:textId="77777777" w:rsidR="00D67402" w:rsidRDefault="00D67402" w:rsidP="00D67402">
      <w:pPr>
        <w:pStyle w:val="Luettelokappale"/>
        <w:numPr>
          <w:ilvl w:val="4"/>
          <w:numId w:val="16"/>
        </w:numPr>
        <w:jc w:val="both"/>
      </w:pPr>
      <w:commentRangeStart w:id="54"/>
      <w:r>
        <w:t>The definition for CIC code 12, Supranational bonds is replaced by the following:</w:t>
      </w:r>
      <w:commentRangeEnd w:id="54"/>
      <w:r>
        <w:rPr>
          <w:rStyle w:val="Kommentinviite"/>
          <w:lang w:eastAsia="pt-PT"/>
        </w:rPr>
        <w:commentReference w:id="54"/>
      </w:r>
    </w:p>
    <w:p w14:paraId="58E6F0FB" w14:textId="77777777" w:rsidR="00D67402" w:rsidRPr="004F5232" w:rsidRDefault="00D67402" w:rsidP="00D67402">
      <w:pPr>
        <w:pStyle w:val="Luettelokappale"/>
        <w:ind w:left="710"/>
        <w:jc w:val="both"/>
      </w:pPr>
    </w:p>
    <w:p w14:paraId="2EB7A407" w14:textId="7074F1C8" w:rsidR="00D67402" w:rsidRPr="004F5232" w:rsidRDefault="00D67402" w:rsidP="00D67402">
      <w:pPr>
        <w:pStyle w:val="Luettelokappale"/>
        <w:ind w:left="993"/>
        <w:jc w:val="both"/>
      </w:pPr>
      <w:r w:rsidRPr="004F5232">
        <w:t>“Bonds issued by public institutions established by a commitment between national states, e.g. issued by a multilateral development bank as referred to in paragraph 2 of Article 117 of Regulation (EU) No 575/2013 or issued by an international organisations referred to in Article 118 of Regulation (EU) No 575/2013.”;</w:t>
      </w:r>
    </w:p>
    <w:p w14:paraId="498D4822" w14:textId="77777777" w:rsidR="00F66989" w:rsidRDefault="00F66989" w:rsidP="00F66989">
      <w:pPr>
        <w:pStyle w:val="Luettelokappale"/>
        <w:ind w:left="993"/>
        <w:jc w:val="both"/>
      </w:pPr>
    </w:p>
    <w:p w14:paraId="5BB2AF1F" w14:textId="77777777" w:rsidR="0003733C" w:rsidRDefault="0083048F" w:rsidP="00B922FE">
      <w:pPr>
        <w:pStyle w:val="Annexetitre"/>
        <w:rPr>
          <w:noProof/>
        </w:rPr>
      </w:pPr>
      <w:r w:rsidRPr="00853F24">
        <w:rPr>
          <w:noProof/>
        </w:rPr>
        <w:t>ANNEX I</w:t>
      </w:r>
      <w:r w:rsidR="008C3C02" w:rsidRPr="00853F24">
        <w:rPr>
          <w:noProof/>
        </w:rPr>
        <w:t>I</w:t>
      </w:r>
    </w:p>
    <w:p w14:paraId="5CE75A3B" w14:textId="77777777" w:rsidR="00D67402" w:rsidRPr="009A4C7F" w:rsidRDefault="00D67402" w:rsidP="009A4C7F"/>
    <w:p w14:paraId="5BB2AF20" w14:textId="2FC4FC4E" w:rsidR="009816CB" w:rsidRPr="004F5232" w:rsidRDefault="009816CB" w:rsidP="004F5232">
      <w:pPr>
        <w:pStyle w:val="Luettelokappale"/>
        <w:numPr>
          <w:ilvl w:val="0"/>
          <w:numId w:val="45"/>
        </w:numPr>
        <w:jc w:val="both"/>
        <w:rPr>
          <w:b/>
        </w:rPr>
      </w:pPr>
      <w:r w:rsidRPr="009A4C7F">
        <w:t>Annex I</w:t>
      </w:r>
      <w:r w:rsidRPr="004F5232">
        <w:t xml:space="preserve"> </w:t>
      </w:r>
      <w:r w:rsidRPr="009A4C7F">
        <w:t>to Implementing Regulation (EU) 2015/2450 is corrected as follows:</w:t>
      </w:r>
    </w:p>
    <w:p w14:paraId="6DC3EF09" w14:textId="65DF3E9F" w:rsidR="00836589" w:rsidRPr="005158E4" w:rsidRDefault="00836589" w:rsidP="00836589">
      <w:pPr>
        <w:pStyle w:val="Luettelokappale"/>
        <w:ind w:left="0"/>
      </w:pPr>
    </w:p>
    <w:p w14:paraId="5BB2AF2D" w14:textId="6CE408EB" w:rsidR="00FC3782" w:rsidRDefault="00FC3782" w:rsidP="00477D5F">
      <w:pPr>
        <w:pStyle w:val="Luettelokappale"/>
        <w:numPr>
          <w:ilvl w:val="4"/>
          <w:numId w:val="24"/>
        </w:numPr>
        <w:ind w:left="993" w:hanging="709"/>
        <w:jc w:val="both"/>
      </w:pPr>
      <w:r w:rsidRPr="00B922FE">
        <w:t xml:space="preserve">In </w:t>
      </w:r>
      <w:r w:rsidR="00B143F1">
        <w:t xml:space="preserve">template </w:t>
      </w:r>
      <w:commentRangeStart w:id="55"/>
      <w:r w:rsidRPr="00B922FE">
        <w:t>S.</w:t>
      </w:r>
      <w:r>
        <w:t>23.01</w:t>
      </w:r>
      <w:r w:rsidRPr="00B922FE">
        <w:t>.0</w:t>
      </w:r>
      <w:r>
        <w:t>4</w:t>
      </w:r>
      <w:r w:rsidRPr="00B922FE">
        <w:t xml:space="preserve"> </w:t>
      </w:r>
      <w:commentRangeEnd w:id="55"/>
      <w:r w:rsidR="0091736A">
        <w:rPr>
          <w:rStyle w:val="Kommentinviite"/>
          <w:lang w:eastAsia="pt-PT"/>
        </w:rPr>
        <w:commentReference w:id="55"/>
      </w:r>
      <w:r w:rsidR="00024A6A">
        <w:t xml:space="preserve">row </w:t>
      </w:r>
      <w:r>
        <w:t>R04</w:t>
      </w:r>
      <w:r w:rsidR="002E5264">
        <w:t>1</w:t>
      </w:r>
      <w:r>
        <w:t>0 is replaced by the following</w:t>
      </w:r>
      <w:r w:rsidR="00AE6DB4">
        <w:t>:</w:t>
      </w:r>
    </w:p>
    <w:p w14:paraId="5BB2AF2E" w14:textId="30E25F5B" w:rsidR="00FC3782" w:rsidRDefault="00182A17" w:rsidP="00646444">
      <w:pPr>
        <w:pStyle w:val="Luettelokappale"/>
        <w:ind w:left="993"/>
        <w:jc w:val="both"/>
      </w:pPr>
      <w:r>
        <w:t>“</w:t>
      </w:r>
    </w:p>
    <w:tbl>
      <w:tblPr>
        <w:tblW w:w="8640" w:type="dxa"/>
        <w:tblInd w:w="817" w:type="dxa"/>
        <w:tblLook w:val="04A0" w:firstRow="1" w:lastRow="0" w:firstColumn="1" w:lastColumn="0" w:noHBand="0" w:noVBand="1"/>
      </w:tblPr>
      <w:tblGrid>
        <w:gridCol w:w="2977"/>
        <w:gridCol w:w="844"/>
        <w:gridCol w:w="963"/>
        <w:gridCol w:w="964"/>
        <w:gridCol w:w="964"/>
        <w:gridCol w:w="964"/>
        <w:gridCol w:w="964"/>
      </w:tblGrid>
      <w:tr w:rsidR="002E5264" w:rsidRPr="00CB5EB9" w14:paraId="3350F2B5" w14:textId="77777777" w:rsidTr="004F5232">
        <w:trPr>
          <w:trHeight w:val="600"/>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7D04617" w14:textId="083A2B88" w:rsidR="002E5264" w:rsidRPr="00CB5EB9" w:rsidRDefault="002E5264" w:rsidP="002E5264">
            <w:pPr>
              <w:ind w:firstLineChars="100" w:firstLine="200"/>
              <w:rPr>
                <w:sz w:val="20"/>
                <w:szCs w:val="20"/>
              </w:rPr>
            </w:pPr>
            <w:r w:rsidRPr="00CB5EB9">
              <w:rPr>
                <w:sz w:val="20"/>
                <w:szCs w:val="20"/>
              </w:rPr>
              <w:t xml:space="preserve">Credit institutions, investment firms, financial </w:t>
            </w:r>
            <w:r w:rsidRPr="004F5232">
              <w:rPr>
                <w:sz w:val="20"/>
                <w:szCs w:val="20"/>
              </w:rPr>
              <w:t>institutions,</w:t>
            </w:r>
            <w:r w:rsidRPr="004F5232">
              <w:rPr>
                <w:sz w:val="20"/>
                <w:szCs w:val="20"/>
                <w:lang w:val="en-US" w:eastAsia="it-IT"/>
              </w:rPr>
              <w:t xml:space="preserve"> alternative investment fund managers, UCITS management companies – total</w:t>
            </w:r>
          </w:p>
        </w:tc>
        <w:tc>
          <w:tcPr>
            <w:tcW w:w="844" w:type="dxa"/>
            <w:tcBorders>
              <w:top w:val="single" w:sz="4" w:space="0" w:color="auto"/>
              <w:left w:val="nil"/>
              <w:bottom w:val="single" w:sz="4" w:space="0" w:color="auto"/>
              <w:right w:val="single" w:sz="4" w:space="0" w:color="auto"/>
            </w:tcBorders>
            <w:shd w:val="clear" w:color="auto" w:fill="auto"/>
            <w:vAlign w:val="center"/>
            <w:hideMark/>
          </w:tcPr>
          <w:p w14:paraId="3C1DC92F" w14:textId="77777777" w:rsidR="002E5264" w:rsidRPr="00CB5EB9" w:rsidRDefault="002E5264" w:rsidP="002E5264">
            <w:pPr>
              <w:jc w:val="center"/>
              <w:rPr>
                <w:sz w:val="20"/>
                <w:szCs w:val="20"/>
              </w:rPr>
            </w:pPr>
            <w:r w:rsidRPr="00CB5EB9">
              <w:rPr>
                <w:sz w:val="20"/>
                <w:szCs w:val="20"/>
              </w:rPr>
              <w:t>R0410</w:t>
            </w:r>
          </w:p>
        </w:tc>
        <w:tc>
          <w:tcPr>
            <w:tcW w:w="963" w:type="dxa"/>
            <w:tcBorders>
              <w:top w:val="single" w:sz="4" w:space="0" w:color="auto"/>
              <w:left w:val="nil"/>
              <w:bottom w:val="single" w:sz="4" w:space="0" w:color="auto"/>
              <w:right w:val="single" w:sz="4" w:space="0" w:color="auto"/>
            </w:tcBorders>
            <w:shd w:val="clear" w:color="auto" w:fill="auto"/>
            <w:hideMark/>
          </w:tcPr>
          <w:p w14:paraId="5DBBD36F" w14:textId="437BD1C3" w:rsidR="002E5264" w:rsidRPr="00CB5EB9" w:rsidRDefault="002E5264" w:rsidP="002E5264">
            <w:pPr>
              <w:jc w:val="center"/>
              <w:rPr>
                <w:sz w:val="20"/>
                <w:szCs w:val="20"/>
              </w:rPr>
            </w:pPr>
          </w:p>
        </w:tc>
        <w:tc>
          <w:tcPr>
            <w:tcW w:w="964" w:type="dxa"/>
            <w:tcBorders>
              <w:top w:val="single" w:sz="4" w:space="0" w:color="auto"/>
              <w:left w:val="nil"/>
              <w:bottom w:val="single" w:sz="4" w:space="0" w:color="auto"/>
              <w:right w:val="single" w:sz="4" w:space="0" w:color="auto"/>
            </w:tcBorders>
            <w:shd w:val="clear" w:color="auto" w:fill="auto"/>
            <w:hideMark/>
          </w:tcPr>
          <w:p w14:paraId="09AB2E7B" w14:textId="002AEEAD" w:rsidR="002E5264" w:rsidRPr="00CB5EB9" w:rsidRDefault="002E5264" w:rsidP="002E5264">
            <w:pPr>
              <w:jc w:val="center"/>
              <w:rPr>
                <w:sz w:val="20"/>
                <w:szCs w:val="20"/>
              </w:rPr>
            </w:pPr>
          </w:p>
        </w:tc>
        <w:tc>
          <w:tcPr>
            <w:tcW w:w="964" w:type="dxa"/>
            <w:tcBorders>
              <w:top w:val="single" w:sz="4" w:space="0" w:color="auto"/>
              <w:left w:val="nil"/>
              <w:bottom w:val="single" w:sz="4" w:space="0" w:color="auto"/>
              <w:right w:val="single" w:sz="4" w:space="0" w:color="auto"/>
            </w:tcBorders>
            <w:shd w:val="clear" w:color="auto" w:fill="auto"/>
            <w:hideMark/>
          </w:tcPr>
          <w:p w14:paraId="0722E068" w14:textId="0A13053E" w:rsidR="002E5264" w:rsidRPr="00CB5EB9" w:rsidRDefault="002E5264" w:rsidP="002E5264">
            <w:pPr>
              <w:jc w:val="center"/>
              <w:rPr>
                <w:sz w:val="20"/>
                <w:szCs w:val="20"/>
              </w:rPr>
            </w:pPr>
          </w:p>
        </w:tc>
        <w:tc>
          <w:tcPr>
            <w:tcW w:w="964" w:type="dxa"/>
            <w:tcBorders>
              <w:top w:val="single" w:sz="4" w:space="0" w:color="auto"/>
              <w:left w:val="nil"/>
              <w:bottom w:val="single" w:sz="4" w:space="0" w:color="auto"/>
              <w:right w:val="single" w:sz="4" w:space="0" w:color="auto"/>
            </w:tcBorders>
            <w:shd w:val="clear" w:color="auto" w:fill="auto"/>
            <w:hideMark/>
          </w:tcPr>
          <w:p w14:paraId="6007A057" w14:textId="16BCDD51" w:rsidR="002E5264" w:rsidRPr="00CB5EB9" w:rsidRDefault="002E5264" w:rsidP="002E5264">
            <w:pPr>
              <w:jc w:val="center"/>
              <w:rPr>
                <w:sz w:val="20"/>
                <w:szCs w:val="20"/>
              </w:rPr>
            </w:pPr>
          </w:p>
        </w:tc>
        <w:tc>
          <w:tcPr>
            <w:tcW w:w="96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F9F0A0A" w14:textId="66831A58" w:rsidR="002E5264" w:rsidRPr="00CB5EB9" w:rsidRDefault="002E5264" w:rsidP="002E5264">
            <w:pPr>
              <w:jc w:val="center"/>
              <w:rPr>
                <w:sz w:val="20"/>
                <w:szCs w:val="20"/>
              </w:rPr>
            </w:pPr>
          </w:p>
        </w:tc>
      </w:tr>
    </w:tbl>
    <w:p w14:paraId="5BB2AF37" w14:textId="570ED78D" w:rsidR="00FC3782" w:rsidRDefault="00182A17" w:rsidP="00646444">
      <w:pPr>
        <w:pStyle w:val="Luettelokappale"/>
        <w:ind w:left="993"/>
        <w:jc w:val="both"/>
      </w:pPr>
      <w:r>
        <w:t>“</w:t>
      </w:r>
      <w:r w:rsidR="00FC3782">
        <w:t>;</w:t>
      </w:r>
    </w:p>
    <w:p w14:paraId="6F702771" w14:textId="77777777" w:rsidR="00182A17" w:rsidRDefault="00182A17" w:rsidP="00646444">
      <w:pPr>
        <w:pStyle w:val="Luettelokappale"/>
        <w:ind w:left="993"/>
        <w:jc w:val="both"/>
      </w:pPr>
    </w:p>
    <w:p w14:paraId="45DE3D6D" w14:textId="5EC2FA4E" w:rsidR="00B979CB" w:rsidRPr="00182A17" w:rsidRDefault="00B979CB" w:rsidP="004F5232">
      <w:pPr>
        <w:pStyle w:val="Luettelokappale"/>
        <w:numPr>
          <w:ilvl w:val="0"/>
          <w:numId w:val="45"/>
        </w:numPr>
        <w:jc w:val="both"/>
      </w:pPr>
      <w:r w:rsidRPr="00182A17">
        <w:t>Both Annex II and III to Implementing Regulation (EU) 2015/2450 are corrected as follows:</w:t>
      </w:r>
    </w:p>
    <w:p w14:paraId="79E76073" w14:textId="77777777" w:rsidR="00B979CB" w:rsidRDefault="00B979CB" w:rsidP="00B979CB">
      <w:pPr>
        <w:pStyle w:val="Luettelokappale"/>
        <w:ind w:left="993"/>
      </w:pPr>
    </w:p>
    <w:p w14:paraId="3C6C2486" w14:textId="77777777" w:rsidR="00B979CB" w:rsidRPr="004C66E0" w:rsidRDefault="00B979CB" w:rsidP="00FE438C">
      <w:pPr>
        <w:pStyle w:val="Luettelokappale"/>
        <w:numPr>
          <w:ilvl w:val="4"/>
          <w:numId w:val="30"/>
        </w:numPr>
        <w:ind w:left="993" w:hanging="709"/>
        <w:jc w:val="both"/>
      </w:pPr>
      <w:r w:rsidRPr="008C737E">
        <w:t>In</w:t>
      </w:r>
      <w:r>
        <w:t xml:space="preserve"> template</w:t>
      </w:r>
      <w:r w:rsidRPr="008C737E">
        <w:t xml:space="preserve"> </w:t>
      </w:r>
      <w:commentRangeStart w:id="56"/>
      <w:r w:rsidRPr="008C737E">
        <w:t>S.05.</w:t>
      </w:r>
      <w:r>
        <w:t xml:space="preserve">01 </w:t>
      </w:r>
      <w:commentRangeEnd w:id="56"/>
      <w:r w:rsidR="00182A17" w:rsidRPr="00FE438C">
        <w:commentReference w:id="56"/>
      </w:r>
      <w:r>
        <w:t xml:space="preserve">the last </w:t>
      </w:r>
      <w:r w:rsidRPr="008C737E">
        <w:t>paragraph of the general comments</w:t>
      </w:r>
      <w:r>
        <w:t xml:space="preserve"> is replaced by:</w:t>
      </w:r>
    </w:p>
    <w:p w14:paraId="7A01DB5A" w14:textId="3CA6177B" w:rsidR="00B979CB" w:rsidRPr="004C66E0" w:rsidRDefault="00B979CB" w:rsidP="00FE438C">
      <w:pPr>
        <w:pStyle w:val="Luettelokappale"/>
        <w:ind w:left="993"/>
        <w:jc w:val="both"/>
      </w:pPr>
      <w:r w:rsidRPr="004C66E0">
        <w:t>“For quarterly reporting administrative expenses, investment management expenses, acquisition expenses,</w:t>
      </w:r>
      <w:r>
        <w:t xml:space="preserve"> </w:t>
      </w:r>
      <w:r w:rsidRPr="00FE438C">
        <w:t>claims management expenses</w:t>
      </w:r>
      <w:r>
        <w:t>,</w:t>
      </w:r>
      <w:r w:rsidRPr="004C66E0">
        <w:t xml:space="preserve"> overhead expenses shall be presented aggregated.</w:t>
      </w:r>
      <w:r>
        <w:t>”;</w:t>
      </w:r>
    </w:p>
    <w:p w14:paraId="34490082" w14:textId="77777777" w:rsidR="00B979CB" w:rsidRPr="004C66E0" w:rsidRDefault="00B979CB" w:rsidP="00B979CB">
      <w:pPr>
        <w:pStyle w:val="Luettelokappale"/>
        <w:ind w:left="993"/>
        <w:jc w:val="both"/>
      </w:pPr>
    </w:p>
    <w:p w14:paraId="6FA55BF5" w14:textId="42C9B20B" w:rsidR="00B979CB" w:rsidRDefault="00B979CB" w:rsidP="00462C68">
      <w:pPr>
        <w:pStyle w:val="Luettelokappale"/>
        <w:numPr>
          <w:ilvl w:val="4"/>
          <w:numId w:val="30"/>
        </w:numPr>
        <w:ind w:left="993" w:hanging="709"/>
        <w:jc w:val="both"/>
      </w:pPr>
      <w:r w:rsidRPr="00580BC3">
        <w:t xml:space="preserve">In </w:t>
      </w:r>
      <w:r>
        <w:t xml:space="preserve">template </w:t>
      </w:r>
      <w:commentRangeStart w:id="57"/>
      <w:r w:rsidRPr="00580BC3">
        <w:t>S.06.02.</w:t>
      </w:r>
      <w:r w:rsidR="0010540B">
        <w:t xml:space="preserve">C0110 and </w:t>
      </w:r>
      <w:r w:rsidRPr="00580BC3">
        <w:t>C0</w:t>
      </w:r>
      <w:r>
        <w:t>12</w:t>
      </w:r>
      <w:r w:rsidRPr="00580BC3">
        <w:t>0</w:t>
      </w:r>
      <w:r>
        <w:t xml:space="preserve"> </w:t>
      </w:r>
      <w:commentRangeEnd w:id="57"/>
      <w:r w:rsidR="00EF37E3" w:rsidRPr="00FE438C">
        <w:commentReference w:id="57"/>
      </w:r>
      <w:r>
        <w:t xml:space="preserve">in the </w:t>
      </w:r>
      <w:r w:rsidR="0010540B">
        <w:t xml:space="preserve">third and </w:t>
      </w:r>
      <w:r>
        <w:t>last sentence of the</w:t>
      </w:r>
      <w:r w:rsidRPr="00580BC3">
        <w:t xml:space="preserve"> instructions</w:t>
      </w:r>
      <w:r>
        <w:t xml:space="preserve"> </w:t>
      </w:r>
      <w:r w:rsidR="0010540B">
        <w:t xml:space="preserve">respectively </w:t>
      </w:r>
      <w:r>
        <w:t>the following is deleted:</w:t>
      </w:r>
      <w:r w:rsidRPr="00580BC3">
        <w:t xml:space="preserve"> </w:t>
      </w:r>
    </w:p>
    <w:p w14:paraId="35C5B2F3" w14:textId="58A50F0B" w:rsidR="00B979CB" w:rsidRDefault="00B979CB" w:rsidP="00462C68">
      <w:pPr>
        <w:pStyle w:val="Luettelokappale"/>
        <w:ind w:left="993"/>
        <w:jc w:val="both"/>
      </w:pPr>
      <w:r>
        <w:t>“</w:t>
      </w:r>
      <w:r w:rsidRPr="004516D7">
        <w:t>(for mortgages and loans to natural persons, as those assets are not required to be individualised)”;</w:t>
      </w:r>
    </w:p>
    <w:p w14:paraId="7C6EF229" w14:textId="77777777" w:rsidR="00B979CB" w:rsidRDefault="00B979CB" w:rsidP="00462C68">
      <w:pPr>
        <w:pStyle w:val="Luettelokappale"/>
        <w:ind w:left="993"/>
        <w:jc w:val="both"/>
      </w:pPr>
    </w:p>
    <w:p w14:paraId="474CFF96" w14:textId="77777777" w:rsidR="00B979CB" w:rsidRDefault="00B979CB" w:rsidP="00462C68">
      <w:pPr>
        <w:pStyle w:val="Luettelokappale"/>
        <w:numPr>
          <w:ilvl w:val="4"/>
          <w:numId w:val="30"/>
        </w:numPr>
        <w:ind w:left="993" w:hanging="709"/>
        <w:jc w:val="both"/>
      </w:pPr>
      <w:r w:rsidRPr="00580BC3">
        <w:t xml:space="preserve">In </w:t>
      </w:r>
      <w:r>
        <w:t xml:space="preserve">template </w:t>
      </w:r>
      <w:commentRangeStart w:id="58"/>
      <w:r w:rsidRPr="00580BC3">
        <w:t>S.06.02.C0</w:t>
      </w:r>
      <w:r>
        <w:t>13</w:t>
      </w:r>
      <w:r w:rsidRPr="00580BC3">
        <w:t>0</w:t>
      </w:r>
      <w:r>
        <w:t xml:space="preserve"> </w:t>
      </w:r>
      <w:commentRangeEnd w:id="58"/>
      <w:r w:rsidR="00D20447" w:rsidRPr="00462C68">
        <w:commentReference w:id="58"/>
      </w:r>
      <w:r>
        <w:t xml:space="preserve">at the end of the </w:t>
      </w:r>
      <w:r w:rsidRPr="00580BC3">
        <w:t>instructions</w:t>
      </w:r>
      <w:r>
        <w:t xml:space="preserve"> the following is added:</w:t>
      </w:r>
      <w:r w:rsidRPr="00580BC3">
        <w:t xml:space="preserve"> </w:t>
      </w:r>
    </w:p>
    <w:p w14:paraId="6FF5FE86" w14:textId="77777777" w:rsidR="00B979CB" w:rsidRDefault="00B979CB" w:rsidP="00462C68">
      <w:pPr>
        <w:pStyle w:val="Luettelokappale"/>
        <w:ind w:left="993"/>
        <w:jc w:val="both"/>
      </w:pPr>
      <w:r>
        <w:t>“</w:t>
      </w:r>
      <w:r w:rsidRPr="004516D7">
        <w:t>This item is not applicable for CIC category 71 and 9</w:t>
      </w:r>
      <w:r>
        <w:t>.</w:t>
      </w:r>
      <w:r w:rsidRPr="004516D7">
        <w:t>”;</w:t>
      </w:r>
    </w:p>
    <w:p w14:paraId="08173185" w14:textId="77777777" w:rsidR="00B979CB" w:rsidRPr="004516D7" w:rsidRDefault="00B979CB" w:rsidP="00462C68">
      <w:pPr>
        <w:pStyle w:val="Luettelokappale"/>
        <w:ind w:left="993"/>
        <w:jc w:val="both"/>
      </w:pPr>
    </w:p>
    <w:p w14:paraId="175AED0B" w14:textId="77777777" w:rsidR="0007217E" w:rsidRDefault="0007217E" w:rsidP="00462C68">
      <w:pPr>
        <w:pStyle w:val="Luettelokappale"/>
        <w:numPr>
          <w:ilvl w:val="4"/>
          <w:numId w:val="30"/>
        </w:numPr>
        <w:ind w:left="993" w:hanging="709"/>
        <w:jc w:val="both"/>
      </w:pPr>
      <w:r w:rsidRPr="00580BC3">
        <w:t xml:space="preserve">In </w:t>
      </w:r>
      <w:r>
        <w:t>template S.08.01 the first sentence in the eight paragraph of the general comments is replaced by:</w:t>
      </w:r>
      <w:r w:rsidRPr="00580BC3">
        <w:t xml:space="preserve"> </w:t>
      </w:r>
    </w:p>
    <w:p w14:paraId="16448462" w14:textId="77777777" w:rsidR="0007217E" w:rsidRDefault="0007217E" w:rsidP="00462C68">
      <w:pPr>
        <w:pStyle w:val="Luettelokappale"/>
        <w:ind w:left="993"/>
        <w:jc w:val="both"/>
      </w:pPr>
      <w:r>
        <w:t>“</w:t>
      </w:r>
      <w:r w:rsidRPr="00100948">
        <w:t xml:space="preserve">On the table Information on positions held, each derivative shall be reported separately in as many rows as needed in order to properly fill in </w:t>
      </w:r>
      <w:r w:rsidRPr="00D20447">
        <w:t>all</w:t>
      </w:r>
      <w:r w:rsidRPr="00462C68">
        <w:t xml:space="preserve"> non-monetary variables, requested in that table</w:t>
      </w:r>
      <w:r>
        <w:t>.</w:t>
      </w:r>
      <w:r w:rsidRPr="00131B78">
        <w:t xml:space="preserve"> If for the same derivative two values can be attributed to one variable, then this derivative needs to be reported in more than one </w:t>
      </w:r>
      <w:commentRangeStart w:id="59"/>
      <w:r w:rsidRPr="00131B78">
        <w:t>line</w:t>
      </w:r>
      <w:commentRangeEnd w:id="59"/>
      <w:r w:rsidRPr="00462C68">
        <w:commentReference w:id="59"/>
      </w:r>
      <w:r w:rsidRPr="00131B78">
        <w:t>.</w:t>
      </w:r>
      <w:r w:rsidRPr="004516D7">
        <w:t>”;</w:t>
      </w:r>
    </w:p>
    <w:p w14:paraId="4DB6C7B7" w14:textId="77777777" w:rsidR="0032511F" w:rsidRDefault="0032511F" w:rsidP="0032511F">
      <w:pPr>
        <w:pStyle w:val="Luettelokappale"/>
        <w:ind w:left="993"/>
      </w:pPr>
    </w:p>
    <w:p w14:paraId="4CAAF663" w14:textId="4AF0B92E" w:rsidR="002D774E" w:rsidRDefault="002D774E" w:rsidP="00462C68">
      <w:pPr>
        <w:pStyle w:val="Luettelokappale"/>
        <w:numPr>
          <w:ilvl w:val="4"/>
          <w:numId w:val="30"/>
        </w:numPr>
        <w:ind w:left="993" w:hanging="709"/>
        <w:jc w:val="both"/>
      </w:pPr>
      <w:r w:rsidRPr="00580BC3">
        <w:t xml:space="preserve">In </w:t>
      </w:r>
      <w:r>
        <w:t xml:space="preserve">template S.08.01 </w:t>
      </w:r>
      <w:commentRangeStart w:id="60"/>
      <w:r>
        <w:t xml:space="preserve">the second paragraph </w:t>
      </w:r>
      <w:commentRangeEnd w:id="60"/>
      <w:r w:rsidRPr="00462C68">
        <w:commentReference w:id="60"/>
      </w:r>
      <w:r>
        <w:t>of the instructions for C0300 is deleted;</w:t>
      </w:r>
      <w:r w:rsidRPr="00580BC3">
        <w:t xml:space="preserve"> </w:t>
      </w:r>
    </w:p>
    <w:p w14:paraId="01E2A279" w14:textId="77777777" w:rsidR="002D774E" w:rsidRDefault="002D774E" w:rsidP="00462C68">
      <w:pPr>
        <w:pStyle w:val="Luettelokappale"/>
        <w:ind w:left="993"/>
        <w:jc w:val="both"/>
      </w:pPr>
    </w:p>
    <w:p w14:paraId="2A07127B" w14:textId="53F06B93" w:rsidR="00625906" w:rsidRDefault="00625906" w:rsidP="00462C68">
      <w:pPr>
        <w:pStyle w:val="Luettelokappale"/>
        <w:numPr>
          <w:ilvl w:val="4"/>
          <w:numId w:val="30"/>
        </w:numPr>
        <w:ind w:left="993" w:hanging="709"/>
        <w:jc w:val="both"/>
      </w:pPr>
      <w:r w:rsidRPr="00580BC3">
        <w:t xml:space="preserve">In </w:t>
      </w:r>
      <w:r>
        <w:t xml:space="preserve">template </w:t>
      </w:r>
      <w:commentRangeStart w:id="61"/>
      <w:r>
        <w:t xml:space="preserve">S.08.02 </w:t>
      </w:r>
      <w:commentRangeEnd w:id="61"/>
      <w:r w:rsidR="00526A4A" w:rsidRPr="00462C68">
        <w:commentReference w:id="61"/>
      </w:r>
      <w:r>
        <w:t>the first sentence in the ten</w:t>
      </w:r>
      <w:r w:rsidR="009D1861">
        <w:t>th</w:t>
      </w:r>
      <w:r>
        <w:t xml:space="preserve"> paragraph of the general comments is replaced by:</w:t>
      </w:r>
      <w:r w:rsidRPr="00580BC3">
        <w:t xml:space="preserve"> </w:t>
      </w:r>
    </w:p>
    <w:p w14:paraId="6C5CCB54" w14:textId="77777777" w:rsidR="00625906" w:rsidRDefault="00625906" w:rsidP="00462C68">
      <w:pPr>
        <w:pStyle w:val="Luettelokappale"/>
        <w:ind w:left="993"/>
        <w:jc w:val="both"/>
      </w:pPr>
      <w:r>
        <w:t>“</w:t>
      </w:r>
      <w:r w:rsidRPr="00100948">
        <w:t xml:space="preserve">On the table Information on positions held, each derivative shall be reported separately in as many rows as needed in order to properly fill in all </w:t>
      </w:r>
      <w:r w:rsidRPr="00462C68">
        <w:t>non-monetary variables, requested in that table</w:t>
      </w:r>
      <w:r>
        <w:t>.</w:t>
      </w:r>
      <w:r w:rsidRPr="004516D7">
        <w:t>”;</w:t>
      </w:r>
    </w:p>
    <w:p w14:paraId="15A30517" w14:textId="77777777" w:rsidR="00625906" w:rsidRDefault="00625906" w:rsidP="00462C68">
      <w:pPr>
        <w:pStyle w:val="Luettelokappale"/>
        <w:ind w:left="993"/>
        <w:jc w:val="both"/>
      </w:pPr>
    </w:p>
    <w:p w14:paraId="31646DEE" w14:textId="77777777" w:rsidR="003105F7" w:rsidRDefault="003105F7" w:rsidP="00462C68">
      <w:pPr>
        <w:pStyle w:val="Luettelokappale"/>
        <w:numPr>
          <w:ilvl w:val="4"/>
          <w:numId w:val="30"/>
        </w:numPr>
        <w:ind w:left="993" w:hanging="709"/>
        <w:jc w:val="both"/>
      </w:pPr>
      <w:r w:rsidRPr="00B64B4A">
        <w:t xml:space="preserve">In template </w:t>
      </w:r>
      <w:commentRangeStart w:id="62"/>
      <w:r w:rsidRPr="00B64B4A">
        <w:t>S.</w:t>
      </w:r>
      <w:r>
        <w:t>15</w:t>
      </w:r>
      <w:r w:rsidRPr="00B64B4A">
        <w:t>.0</w:t>
      </w:r>
      <w:r>
        <w:t xml:space="preserve">2 </w:t>
      </w:r>
      <w:commentRangeEnd w:id="62"/>
      <w:r w:rsidR="00526A4A" w:rsidRPr="00462C68">
        <w:commentReference w:id="62"/>
      </w:r>
      <w:r>
        <w:t>the instructions for the column C0140 are replaced by the following</w:t>
      </w:r>
      <w:r w:rsidRPr="00B64B4A">
        <w:t>:</w:t>
      </w:r>
    </w:p>
    <w:p w14:paraId="74DA0F10" w14:textId="77777777" w:rsidR="003105F7" w:rsidRDefault="003105F7" w:rsidP="00462C68">
      <w:pPr>
        <w:pStyle w:val="Luettelokappale"/>
        <w:ind w:left="993"/>
        <w:jc w:val="both"/>
      </w:pPr>
    </w:p>
    <w:p w14:paraId="6C80BD37" w14:textId="5265C7C8" w:rsidR="003105F7" w:rsidRPr="00B64B4A" w:rsidRDefault="003105F7" w:rsidP="00B4711C">
      <w:pPr>
        <w:pStyle w:val="Luettelokappale"/>
        <w:ind w:left="993"/>
        <w:jc w:val="both"/>
      </w:pPr>
      <w:r>
        <w:t>“</w:t>
      </w:r>
      <w:r w:rsidRPr="00BB5A1A">
        <w:t xml:space="preserve">The “economic result” that the guarantee of the policies has generated during the reporting year considering the result of the hedging strategy. Where hedging is performed for a portfolio of products, for instance in cases where hedge instruments may not be allocated to specific products, the undertaking shall allocate the effect of hedging to the different products using the weight of each product in the “Economic result without hedging” (C0110). </w:t>
      </w:r>
      <w:r w:rsidRPr="00462C68">
        <w:t>This is not to be reported in case the undertaking has no hedging program itself, but only reinsures the guarantee part</w:t>
      </w:r>
      <w:r w:rsidRPr="00BB5A1A">
        <w:t>.”;</w:t>
      </w:r>
      <w:r w:rsidRPr="00B64B4A">
        <w:t xml:space="preserve"> </w:t>
      </w:r>
    </w:p>
    <w:p w14:paraId="4E3D81E9" w14:textId="77777777" w:rsidR="008E3535" w:rsidRDefault="008E3535" w:rsidP="00462C68">
      <w:pPr>
        <w:pStyle w:val="Luettelokappale"/>
        <w:ind w:left="993"/>
        <w:jc w:val="both"/>
      </w:pPr>
    </w:p>
    <w:p w14:paraId="725900F2" w14:textId="28ADAADA" w:rsidR="008E3535" w:rsidRDefault="008E3535" w:rsidP="00462C68">
      <w:pPr>
        <w:pStyle w:val="Luettelokappale"/>
        <w:numPr>
          <w:ilvl w:val="4"/>
          <w:numId w:val="30"/>
        </w:numPr>
        <w:ind w:left="993" w:hanging="709"/>
        <w:jc w:val="both"/>
      </w:pPr>
      <w:r w:rsidRPr="00580BC3">
        <w:t xml:space="preserve">In </w:t>
      </w:r>
      <w:r>
        <w:t>template S.23.04.</w:t>
      </w:r>
      <w:r w:rsidRPr="00181DFD">
        <w:t>C0710/R0020</w:t>
      </w:r>
      <w:r>
        <w:t xml:space="preserve"> the </w:t>
      </w:r>
      <w:commentRangeStart w:id="63"/>
      <w:r>
        <w:t>instructions are replaced by</w:t>
      </w:r>
      <w:commentRangeEnd w:id="63"/>
      <w:r w:rsidRPr="00462C68">
        <w:commentReference w:id="63"/>
      </w:r>
      <w:r>
        <w:t>:</w:t>
      </w:r>
      <w:r w:rsidRPr="00580BC3">
        <w:t xml:space="preserve"> </w:t>
      </w:r>
    </w:p>
    <w:p w14:paraId="5B863115" w14:textId="77777777" w:rsidR="008E3535" w:rsidRDefault="008E3535" w:rsidP="00462C68">
      <w:pPr>
        <w:pStyle w:val="Luettelokappale"/>
        <w:ind w:left="993"/>
        <w:jc w:val="both"/>
      </w:pPr>
      <w:r>
        <w:t>“</w:t>
      </w:r>
      <w:r w:rsidRPr="0009505E">
        <w:t xml:space="preserve">This is the deduction for each ring–fenced fund/matching adjustment portfolio </w:t>
      </w:r>
      <w:r w:rsidRPr="00462C68">
        <w:t>in accordance with Article 81 of Delegated Regulation (EU) 2015/35</w:t>
      </w:r>
      <w:r w:rsidRPr="0009505E">
        <w:t>.</w:t>
      </w:r>
      <w:r w:rsidRPr="004516D7">
        <w:t>”;</w:t>
      </w:r>
    </w:p>
    <w:p w14:paraId="799A5965" w14:textId="77777777" w:rsidR="003105F7" w:rsidRDefault="003105F7" w:rsidP="00B979CB">
      <w:pPr>
        <w:pStyle w:val="Luettelokappale"/>
        <w:ind w:left="993"/>
        <w:jc w:val="both"/>
      </w:pPr>
    </w:p>
    <w:p w14:paraId="0695A07E" w14:textId="5956F3F4" w:rsidR="009520EF" w:rsidRDefault="009520EF" w:rsidP="004F5232">
      <w:pPr>
        <w:pStyle w:val="Luettelokappale"/>
        <w:numPr>
          <w:ilvl w:val="0"/>
          <w:numId w:val="45"/>
        </w:numPr>
        <w:jc w:val="both"/>
      </w:pPr>
      <w:r w:rsidRPr="00526A4A">
        <w:t xml:space="preserve">Annex II to Implementing Regulation (EU) 2015/2450 is </w:t>
      </w:r>
      <w:r w:rsidR="00D67402" w:rsidRPr="00526A4A">
        <w:t xml:space="preserve">corrected </w:t>
      </w:r>
      <w:r w:rsidRPr="00526A4A">
        <w:t>as follows:</w:t>
      </w:r>
    </w:p>
    <w:p w14:paraId="7D7260F3" w14:textId="77777777" w:rsidR="00526A4A" w:rsidRPr="00853F24" w:rsidRDefault="00526A4A" w:rsidP="009520EF">
      <w:pPr>
        <w:jc w:val="both"/>
      </w:pPr>
    </w:p>
    <w:p w14:paraId="353AC429" w14:textId="77777777" w:rsidR="009520EF" w:rsidRPr="005158E4" w:rsidRDefault="009520EF" w:rsidP="009520EF">
      <w:pPr>
        <w:pStyle w:val="Luettelokappale"/>
        <w:numPr>
          <w:ilvl w:val="0"/>
          <w:numId w:val="20"/>
        </w:numPr>
      </w:pPr>
      <w:commentRangeStart w:id="64"/>
      <w:r w:rsidRPr="00580BC3">
        <w:t xml:space="preserve">In </w:t>
      </w:r>
      <w:r>
        <w:t xml:space="preserve">template </w:t>
      </w:r>
      <w:commentRangeEnd w:id="64"/>
      <w:r w:rsidR="00526A4A">
        <w:rPr>
          <w:rStyle w:val="Kommentinviite"/>
          <w:lang w:eastAsia="pt-PT"/>
        </w:rPr>
        <w:commentReference w:id="64"/>
      </w:r>
      <w:r>
        <w:t>S.12.01.</w:t>
      </w:r>
      <w:r w:rsidRPr="005158E4">
        <w:t>C0020, C0030, C0060, C0090, C0100, C0160, C0190, C0200/R0010 is replaced with:</w:t>
      </w:r>
    </w:p>
    <w:p w14:paraId="2A843030" w14:textId="77777777" w:rsidR="009520EF" w:rsidRDefault="009520EF" w:rsidP="009520EF">
      <w:pPr>
        <w:pStyle w:val="Luettelokappale"/>
        <w:ind w:left="993"/>
        <w:rPr>
          <w:lang w:val="pt-PT"/>
        </w:rPr>
      </w:pPr>
      <w:r w:rsidRPr="00B979CB">
        <w:rPr>
          <w:lang w:val="pt-PT"/>
        </w:rPr>
        <w:t xml:space="preserve">“C0020, C0030, C0060, C0090, </w:t>
      </w:r>
      <w:r w:rsidRPr="004F5232">
        <w:rPr>
          <w:lang w:val="pt-PT"/>
        </w:rPr>
        <w:t>C0100, C0110, C0130, C0140, C0150, C0160</w:t>
      </w:r>
      <w:r w:rsidRPr="00B979CB">
        <w:rPr>
          <w:lang w:val="pt-PT"/>
        </w:rPr>
        <w:t>, C0190, C0200/R0010”;</w:t>
      </w:r>
    </w:p>
    <w:p w14:paraId="4C412A32" w14:textId="77777777" w:rsidR="002608F7" w:rsidRDefault="002608F7" w:rsidP="009520EF">
      <w:pPr>
        <w:pStyle w:val="Luettelokappale"/>
        <w:ind w:left="993"/>
        <w:rPr>
          <w:lang w:val="pt-PT"/>
        </w:rPr>
      </w:pPr>
    </w:p>
    <w:p w14:paraId="47C9A8BE" w14:textId="77777777" w:rsidR="002608F7" w:rsidRPr="00CD127C" w:rsidRDefault="002608F7" w:rsidP="002608F7">
      <w:pPr>
        <w:pStyle w:val="Luettelokappale"/>
        <w:numPr>
          <w:ilvl w:val="0"/>
          <w:numId w:val="20"/>
        </w:numPr>
      </w:pPr>
      <w:r w:rsidRPr="00CD127C">
        <w:t xml:space="preserve">In </w:t>
      </w:r>
      <w:r>
        <w:t xml:space="preserve">template </w:t>
      </w:r>
      <w:r w:rsidRPr="00CD127C">
        <w:t>S.2</w:t>
      </w:r>
      <w:r>
        <w:t>2</w:t>
      </w:r>
      <w:r w:rsidRPr="00CD127C">
        <w:t>.0</w:t>
      </w:r>
      <w:r>
        <w:t>5.</w:t>
      </w:r>
      <w:r w:rsidRPr="00E05F46">
        <w:t>C00</w:t>
      </w:r>
      <w:r>
        <w:t>1</w:t>
      </w:r>
      <w:r w:rsidRPr="00E05F46">
        <w:t>0</w:t>
      </w:r>
      <w:r w:rsidRPr="00EA3457">
        <w:t>/R00</w:t>
      </w:r>
      <w:r>
        <w:t>7</w:t>
      </w:r>
      <w:r w:rsidRPr="00EA3457">
        <w:t>0</w:t>
      </w:r>
      <w:r>
        <w:t xml:space="preserve"> the last sentence of the </w:t>
      </w:r>
      <w:r w:rsidRPr="00E05F46">
        <w:t xml:space="preserve">instructions </w:t>
      </w:r>
      <w:r>
        <w:t>is replaced by the following</w:t>
      </w:r>
      <w:r w:rsidRPr="00CD127C">
        <w:t>:</w:t>
      </w:r>
    </w:p>
    <w:p w14:paraId="1E5B5791" w14:textId="77777777" w:rsidR="002608F7" w:rsidRPr="006D23DB" w:rsidRDefault="002608F7" w:rsidP="002608F7">
      <w:pPr>
        <w:pStyle w:val="Luettelokappale"/>
        <w:ind w:left="993"/>
      </w:pPr>
      <w:r w:rsidRPr="006D23DB">
        <w:t xml:space="preserve">“If no limitation the amount calculated as R0060*(R0010-R0050) should be </w:t>
      </w:r>
      <w:commentRangeStart w:id="65"/>
      <w:r w:rsidRPr="006D23DB">
        <w:t>reported</w:t>
      </w:r>
      <w:commentRangeEnd w:id="65"/>
      <w:r>
        <w:rPr>
          <w:rStyle w:val="Kommentinviite"/>
          <w:lang w:eastAsia="pt-PT"/>
        </w:rPr>
        <w:commentReference w:id="65"/>
      </w:r>
      <w:r w:rsidRPr="006D23DB">
        <w:t>.”;</w:t>
      </w:r>
    </w:p>
    <w:p w14:paraId="2C396C5E" w14:textId="77777777" w:rsidR="009520EF" w:rsidRPr="00C912C6" w:rsidRDefault="009520EF" w:rsidP="009520EF">
      <w:pPr>
        <w:pStyle w:val="Luettelokappale"/>
        <w:ind w:left="993"/>
      </w:pPr>
    </w:p>
    <w:p w14:paraId="4A597B26" w14:textId="77777777" w:rsidR="00D43BB9" w:rsidRPr="00526A4A" w:rsidRDefault="00D43BB9" w:rsidP="00F97516">
      <w:pPr>
        <w:pStyle w:val="Luettelokappale"/>
        <w:numPr>
          <w:ilvl w:val="0"/>
          <w:numId w:val="20"/>
        </w:numPr>
      </w:pPr>
      <w:r w:rsidRPr="00526A4A">
        <w:t xml:space="preserve">In template </w:t>
      </w:r>
      <w:commentRangeStart w:id="66"/>
      <w:r w:rsidRPr="00526A4A">
        <w:t xml:space="preserve">S.22.06 </w:t>
      </w:r>
      <w:commentRangeEnd w:id="66"/>
      <w:r w:rsidR="00526A4A">
        <w:rPr>
          <w:rStyle w:val="Kommentinviite"/>
          <w:lang w:eastAsia="pt-PT"/>
        </w:rPr>
        <w:commentReference w:id="66"/>
      </w:r>
      <w:r w:rsidRPr="00526A4A">
        <w:t xml:space="preserve">in the last sentence of the last paragraph of the general comments the following is added at the end: </w:t>
      </w:r>
    </w:p>
    <w:p w14:paraId="65D64B5A" w14:textId="77777777" w:rsidR="00D43BB9" w:rsidRDefault="00D43BB9" w:rsidP="00526A4A">
      <w:pPr>
        <w:pStyle w:val="Luettelokappale"/>
      </w:pPr>
      <w:r w:rsidRPr="00526A4A">
        <w:t>“by currency and country.”;</w:t>
      </w:r>
    </w:p>
    <w:p w14:paraId="2B6AC14C" w14:textId="77777777" w:rsidR="0096787D" w:rsidRDefault="0096787D" w:rsidP="00526A4A">
      <w:pPr>
        <w:pStyle w:val="Luettelokappale"/>
      </w:pPr>
    </w:p>
    <w:p w14:paraId="72BBBA46" w14:textId="0399CC87" w:rsidR="0096787D" w:rsidRPr="00C6350F" w:rsidRDefault="0096787D" w:rsidP="0096787D">
      <w:pPr>
        <w:pStyle w:val="Luettelokappale"/>
        <w:numPr>
          <w:ilvl w:val="0"/>
          <w:numId w:val="20"/>
        </w:numPr>
        <w:jc w:val="both"/>
      </w:pPr>
      <w:r w:rsidRPr="00C6350F">
        <w:t xml:space="preserve">In template </w:t>
      </w:r>
      <w:commentRangeStart w:id="67"/>
      <w:r w:rsidRPr="00C6350F">
        <w:t>S</w:t>
      </w:r>
      <w:r w:rsidR="00E7776A">
        <w:t>R</w:t>
      </w:r>
      <w:r w:rsidRPr="00C6350F">
        <w:t xml:space="preserve">.22.03 </w:t>
      </w:r>
      <w:commentRangeEnd w:id="67"/>
      <w:r w:rsidRPr="00C6350F">
        <w:commentReference w:id="67"/>
      </w:r>
      <w:r w:rsidRPr="00C6350F">
        <w:t xml:space="preserve">the instructions for C0010/R0060 are replaced by the following: </w:t>
      </w:r>
    </w:p>
    <w:p w14:paraId="26E603CC" w14:textId="77777777" w:rsidR="0096787D" w:rsidRPr="00ED6F9E" w:rsidRDefault="0096787D" w:rsidP="0096787D">
      <w:pPr>
        <w:pStyle w:val="Luettelokappale"/>
        <w:ind w:left="993"/>
        <w:jc w:val="both"/>
        <w:rPr>
          <w:color w:val="FF0000"/>
        </w:rPr>
      </w:pPr>
      <w:r w:rsidRPr="00C6350F">
        <w:t>“Matching adjustment to the risk free rate for the reporte</w:t>
      </w:r>
      <w:r w:rsidRPr="004F5232">
        <w:t>d portfolio, reported in basis points using decimal notation, e.g. 100bp reported as 0.01.”;</w:t>
      </w:r>
    </w:p>
    <w:p w14:paraId="6915A0C5" w14:textId="77777777" w:rsidR="00D43BB9" w:rsidRDefault="00D43BB9" w:rsidP="00D43BB9">
      <w:pPr>
        <w:pStyle w:val="Luettelokappale"/>
        <w:ind w:left="993"/>
      </w:pPr>
    </w:p>
    <w:p w14:paraId="051866BF" w14:textId="2EB87FE8" w:rsidR="00D43BB9" w:rsidRPr="004F5232" w:rsidRDefault="00D43BB9" w:rsidP="004F5232">
      <w:pPr>
        <w:pStyle w:val="Luettelokappale"/>
        <w:numPr>
          <w:ilvl w:val="0"/>
          <w:numId w:val="45"/>
        </w:numPr>
        <w:jc w:val="both"/>
      </w:pPr>
      <w:r w:rsidRPr="00526A4A">
        <w:t xml:space="preserve">Annex III to Implementing Regulation (EU) 2015/2450 is </w:t>
      </w:r>
      <w:r w:rsidR="00D67402" w:rsidRPr="00526A4A">
        <w:t xml:space="preserve">corrected </w:t>
      </w:r>
      <w:r w:rsidRPr="00526A4A">
        <w:t>as follows:</w:t>
      </w:r>
    </w:p>
    <w:p w14:paraId="142A6210" w14:textId="77777777" w:rsidR="00D43BB9" w:rsidRDefault="00D43BB9" w:rsidP="00D43BB9">
      <w:pPr>
        <w:pStyle w:val="Luettelokappale"/>
        <w:tabs>
          <w:tab w:val="left" w:pos="851"/>
        </w:tabs>
        <w:jc w:val="both"/>
      </w:pPr>
    </w:p>
    <w:p w14:paraId="3900CDE3" w14:textId="77777777" w:rsidR="00D43BB9" w:rsidRDefault="00D43BB9" w:rsidP="00462C68">
      <w:pPr>
        <w:pStyle w:val="Luettelokappale"/>
        <w:numPr>
          <w:ilvl w:val="0"/>
          <w:numId w:val="36"/>
        </w:numPr>
        <w:jc w:val="both"/>
      </w:pPr>
      <w:r>
        <w:t xml:space="preserve">In template </w:t>
      </w:r>
      <w:commentRangeStart w:id="68"/>
      <w:r>
        <w:t xml:space="preserve">S.03.01 </w:t>
      </w:r>
      <w:commentRangeEnd w:id="68"/>
      <w:r w:rsidR="001C517D">
        <w:rPr>
          <w:rStyle w:val="Kommentinviite"/>
          <w:lang w:eastAsia="pt-PT"/>
        </w:rPr>
        <w:commentReference w:id="68"/>
      </w:r>
      <w:r>
        <w:t xml:space="preserve">after the six paragraph in the general comments the following sentence is inserted: </w:t>
      </w:r>
    </w:p>
    <w:p w14:paraId="3D99CB29" w14:textId="4CCB1BB2" w:rsidR="00D43BB9" w:rsidRDefault="00D43BB9" w:rsidP="00D43BB9">
      <w:pPr>
        <w:pStyle w:val="Luettelokappale"/>
        <w:ind w:left="993"/>
        <w:jc w:val="both"/>
      </w:pPr>
      <w:r>
        <w:t>“</w:t>
      </w:r>
      <w:r w:rsidRPr="00F66989">
        <w:t>Internal guarantees within the scope of group supervision are not reported in this template</w:t>
      </w:r>
      <w:r>
        <w:t>.”;</w:t>
      </w:r>
    </w:p>
    <w:p w14:paraId="5013C407" w14:textId="77777777" w:rsidR="00D43BB9" w:rsidRDefault="00D43BB9" w:rsidP="00D43BB9">
      <w:pPr>
        <w:pStyle w:val="Luettelokappale"/>
        <w:ind w:left="993"/>
        <w:jc w:val="both"/>
      </w:pPr>
    </w:p>
    <w:p w14:paraId="21541C1C" w14:textId="77777777" w:rsidR="00D43BB9" w:rsidRDefault="00D43BB9" w:rsidP="00462C68">
      <w:pPr>
        <w:pStyle w:val="Luettelokappale"/>
        <w:numPr>
          <w:ilvl w:val="0"/>
          <w:numId w:val="36"/>
        </w:numPr>
        <w:jc w:val="both"/>
      </w:pPr>
      <w:r>
        <w:t xml:space="preserve">In template </w:t>
      </w:r>
      <w:commentRangeStart w:id="69"/>
      <w:r>
        <w:t xml:space="preserve">S.03.01 </w:t>
      </w:r>
      <w:commentRangeEnd w:id="69"/>
      <w:r w:rsidR="009F16B8">
        <w:rPr>
          <w:rStyle w:val="Kommentinviite"/>
          <w:lang w:eastAsia="pt-PT"/>
        </w:rPr>
        <w:commentReference w:id="69"/>
      </w:r>
      <w:r>
        <w:t xml:space="preserve">in the instructions for </w:t>
      </w:r>
      <w:r w:rsidRPr="00E316A7">
        <w:t xml:space="preserve">C0010/R0010 </w:t>
      </w:r>
      <w:r>
        <w:t xml:space="preserve">and </w:t>
      </w:r>
      <w:r w:rsidRPr="00E316A7">
        <w:t xml:space="preserve">C0010/R0030 the last sentence </w:t>
      </w:r>
      <w:r>
        <w:t>i</w:t>
      </w:r>
      <w:r w:rsidRPr="00E316A7">
        <w:t>s deleted</w:t>
      </w:r>
      <w:r>
        <w:t>;</w:t>
      </w:r>
    </w:p>
    <w:p w14:paraId="32C7104D" w14:textId="77777777" w:rsidR="00D43BB9" w:rsidRDefault="00D43BB9" w:rsidP="00D43BB9">
      <w:pPr>
        <w:pStyle w:val="Luettelokappale"/>
        <w:ind w:left="993"/>
        <w:jc w:val="both"/>
      </w:pPr>
    </w:p>
    <w:p w14:paraId="19C9214F" w14:textId="77777777" w:rsidR="00D43BB9" w:rsidRDefault="00D43BB9" w:rsidP="00462C68">
      <w:pPr>
        <w:pStyle w:val="Luettelokappale"/>
        <w:numPr>
          <w:ilvl w:val="0"/>
          <w:numId w:val="36"/>
        </w:numPr>
        <w:jc w:val="both"/>
      </w:pPr>
      <w:r>
        <w:t xml:space="preserve">In template </w:t>
      </w:r>
      <w:commentRangeStart w:id="70"/>
      <w:r>
        <w:t xml:space="preserve">S.03.02 </w:t>
      </w:r>
      <w:commentRangeEnd w:id="70"/>
      <w:r w:rsidR="009F16B8">
        <w:rPr>
          <w:rStyle w:val="Kommentinviite"/>
          <w:lang w:eastAsia="pt-PT"/>
        </w:rPr>
        <w:commentReference w:id="70"/>
      </w:r>
      <w:r>
        <w:t xml:space="preserve">after the third paragraph in the general comments the following sentence is inserted: </w:t>
      </w:r>
    </w:p>
    <w:p w14:paraId="540F842D" w14:textId="77777777" w:rsidR="00D43BB9" w:rsidRDefault="00D43BB9" w:rsidP="00D43BB9">
      <w:pPr>
        <w:pStyle w:val="Luettelokappale"/>
        <w:ind w:left="993"/>
        <w:jc w:val="both"/>
      </w:pPr>
      <w:r>
        <w:t>“</w:t>
      </w:r>
      <w:r w:rsidRPr="00F66989">
        <w:t>Internal guarantees within the scope of group supervision are not reported in this template</w:t>
      </w:r>
      <w:r>
        <w:t>.”;</w:t>
      </w:r>
    </w:p>
    <w:p w14:paraId="6429934F" w14:textId="77777777" w:rsidR="00ED6F9E" w:rsidRDefault="00ED6F9E" w:rsidP="00D43BB9">
      <w:pPr>
        <w:pStyle w:val="Luettelokappale"/>
        <w:ind w:left="993"/>
        <w:jc w:val="both"/>
      </w:pPr>
    </w:p>
    <w:p w14:paraId="1C37DFA0" w14:textId="77777777" w:rsidR="00D67402" w:rsidRDefault="00D67402" w:rsidP="00462C68">
      <w:pPr>
        <w:pStyle w:val="Luettelokappale"/>
        <w:numPr>
          <w:ilvl w:val="0"/>
          <w:numId w:val="36"/>
        </w:numPr>
        <w:jc w:val="both"/>
      </w:pPr>
      <w:r>
        <w:t xml:space="preserve">In template </w:t>
      </w:r>
      <w:commentRangeStart w:id="71"/>
      <w:r>
        <w:t xml:space="preserve">S.35.01 </w:t>
      </w:r>
      <w:commentRangeEnd w:id="71"/>
      <w:r w:rsidR="00F97516">
        <w:rPr>
          <w:rStyle w:val="Kommentinviite"/>
          <w:lang w:eastAsia="pt-PT"/>
        </w:rPr>
        <w:commentReference w:id="71"/>
      </w:r>
      <w:r>
        <w:t xml:space="preserve">the instructions for column C0250 are replaced by the following: </w:t>
      </w:r>
    </w:p>
    <w:p w14:paraId="268AB519" w14:textId="6FB47B31" w:rsidR="00D67402" w:rsidRPr="00231AC0" w:rsidRDefault="00D67402" w:rsidP="00D67402">
      <w:pPr>
        <w:pStyle w:val="Luettelokappale"/>
        <w:ind w:left="993"/>
        <w:jc w:val="both"/>
        <w:rPr>
          <w:color w:val="FF0000"/>
        </w:rPr>
      </w:pPr>
      <w:r>
        <w:t>“</w:t>
      </w:r>
      <w:r w:rsidRPr="00E51B4B">
        <w:t xml:space="preserve">Indicate the amount of Total amount of TP gross of IGT (C0050) subject to volatility </w:t>
      </w:r>
      <w:r w:rsidRPr="004F5232">
        <w:t>adjustment. The Technical Provisions are reported after transitional and with Risk Margin.</w:t>
      </w:r>
    </w:p>
    <w:p w14:paraId="32524DDC" w14:textId="77777777" w:rsidR="00D67402" w:rsidRDefault="00D67402" w:rsidP="00D67402">
      <w:pPr>
        <w:pStyle w:val="Luettelokappale"/>
        <w:ind w:left="993"/>
        <w:jc w:val="both"/>
      </w:pPr>
      <w:r w:rsidRPr="00E51B4B">
        <w:t>The cell shall be filled in with amounts gross of reinsurance and IGT, including intra–group reinsurance</w:t>
      </w:r>
      <w:r>
        <w:t>.”;</w:t>
      </w:r>
    </w:p>
    <w:p w14:paraId="1A81B93B" w14:textId="77777777" w:rsidR="00D67402" w:rsidRDefault="00D67402" w:rsidP="00F97516">
      <w:pPr>
        <w:pStyle w:val="Luettelokappale"/>
        <w:ind w:left="993"/>
        <w:jc w:val="both"/>
      </w:pPr>
    </w:p>
    <w:p w14:paraId="1CE37CB0" w14:textId="138CB63C" w:rsidR="00D43BB9" w:rsidRDefault="00D43BB9" w:rsidP="00462C68">
      <w:pPr>
        <w:pStyle w:val="Luettelokappale"/>
        <w:numPr>
          <w:ilvl w:val="0"/>
          <w:numId w:val="36"/>
        </w:numPr>
        <w:jc w:val="both"/>
      </w:pPr>
      <w:r>
        <w:t xml:space="preserve">In template </w:t>
      </w:r>
      <w:commentRangeStart w:id="72"/>
      <w:r>
        <w:t xml:space="preserve">S.37.01 </w:t>
      </w:r>
      <w:commentRangeEnd w:id="72"/>
      <w:r w:rsidR="00F14476">
        <w:rPr>
          <w:rStyle w:val="Kommentinviite"/>
          <w:lang w:eastAsia="pt-PT"/>
        </w:rPr>
        <w:commentReference w:id="72"/>
      </w:r>
      <w:r>
        <w:t>in the instructions for column C0080 the word “issue</w:t>
      </w:r>
      <w:r w:rsidR="00F14476">
        <w:t>d” is replaced with “provided”.</w:t>
      </w:r>
    </w:p>
    <w:p w14:paraId="5BB2AF38" w14:textId="77777777" w:rsidR="00A04545" w:rsidRDefault="00A04545" w:rsidP="0005229A">
      <w:pPr>
        <w:pStyle w:val="Luettelokappale"/>
        <w:ind w:left="709"/>
        <w:jc w:val="both"/>
      </w:pPr>
    </w:p>
    <w:p w14:paraId="696B0987" w14:textId="77777777" w:rsidR="00D43BB9" w:rsidRDefault="00D43BB9" w:rsidP="0005229A">
      <w:pPr>
        <w:pStyle w:val="Luettelokappale"/>
        <w:ind w:left="709"/>
        <w:jc w:val="both"/>
      </w:pPr>
    </w:p>
    <w:p w14:paraId="44D4376B" w14:textId="60E75710" w:rsidR="00101F90" w:rsidRDefault="00D67402" w:rsidP="00177D28">
      <w:pPr>
        <w:pStyle w:val="Luettelokappale"/>
        <w:ind w:left="993"/>
        <w:jc w:val="both"/>
      </w:pPr>
      <w:r w:rsidRPr="00853F24" w:rsidDel="00D67402">
        <w:rPr>
          <w:noProof/>
        </w:rPr>
        <w:t xml:space="preserve"> </w:t>
      </w:r>
    </w:p>
    <w:p w14:paraId="78239E6A" w14:textId="77777777" w:rsidR="001D780E" w:rsidRDefault="001D780E" w:rsidP="00BD1AF2">
      <w:pPr>
        <w:pStyle w:val="Luettelokappale"/>
        <w:ind w:left="993"/>
        <w:jc w:val="both"/>
      </w:pPr>
    </w:p>
    <w:p w14:paraId="3C48A879" w14:textId="4A73FFF9" w:rsidR="001D780E" w:rsidRDefault="001D780E" w:rsidP="00BD1AF2">
      <w:pPr>
        <w:pStyle w:val="Luettelokappale"/>
        <w:ind w:left="993"/>
        <w:jc w:val="both"/>
      </w:pPr>
    </w:p>
    <w:sectPr w:rsidR="001D780E" w:rsidSect="00D61264">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709" w:footer="357" w:gutter="0"/>
      <w:pgNumType w:start="2"/>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ekijä" w:initials="T">
    <w:p w14:paraId="26890B99" w14:textId="5EFD2E4D" w:rsidR="00B57666" w:rsidRDefault="00B57666">
      <w:pPr>
        <w:pStyle w:val="Kommentinteksti"/>
      </w:pPr>
      <w:r>
        <w:rPr>
          <w:rStyle w:val="Kommentinviite"/>
        </w:rPr>
        <w:annotationRef/>
      </w:r>
      <w:r>
        <w:t>For clarity</w:t>
      </w:r>
    </w:p>
  </w:comment>
  <w:comment w:id="2" w:author="Tekijä" w:initials="T">
    <w:p w14:paraId="4E9D387F" w14:textId="5974AC66" w:rsidR="00B57666" w:rsidRDefault="00B57666">
      <w:pPr>
        <w:pStyle w:val="Kommentinteksti"/>
      </w:pPr>
      <w:r>
        <w:rPr>
          <w:rStyle w:val="Kommentinviite"/>
        </w:rPr>
        <w:annotationRef/>
      </w:r>
      <w:r w:rsidRPr="00583351">
        <w:t>Q&amp;A1349</w:t>
      </w:r>
    </w:p>
  </w:comment>
  <w:comment w:id="3" w:author="Tekijä" w:initials="T">
    <w:p w14:paraId="09862891" w14:textId="7B18D64B" w:rsidR="00B57666" w:rsidRPr="0080120B" w:rsidRDefault="00B57666" w:rsidP="0080120B">
      <w:pPr>
        <w:pStyle w:val="Kommentinteksti"/>
        <w:rPr>
          <w:highlight w:val="green"/>
        </w:rPr>
      </w:pPr>
      <w:r>
        <w:rPr>
          <w:rStyle w:val="Kommentinviite"/>
        </w:rPr>
        <w:annotationRef/>
      </w:r>
      <w:r w:rsidRPr="0080120B">
        <w:t>Should have an option: Not reported due to exemption in accordance with general comments</w:t>
      </w:r>
      <w:r>
        <w:t xml:space="preserve"> in S.06.02 and S</w:t>
      </w:r>
      <w:r w:rsidRPr="0080120B">
        <w:t xml:space="preserve">.08.01 </w:t>
      </w:r>
    </w:p>
  </w:comment>
  <w:comment w:id="4" w:author="Tekijä" w:initials="T">
    <w:p w14:paraId="38E6D6FE" w14:textId="77777777" w:rsidR="00B57666" w:rsidRPr="009A4C7F" w:rsidRDefault="00B57666" w:rsidP="008E6F01">
      <w:pPr>
        <w:pStyle w:val="Kommentinteksti"/>
      </w:pPr>
      <w:r>
        <w:rPr>
          <w:rStyle w:val="Kommentinviite"/>
        </w:rPr>
        <w:annotationRef/>
      </w:r>
      <w:r w:rsidRPr="009A4C7F">
        <w:t>Should not be crossed out for accepted reinsurance</w:t>
      </w:r>
    </w:p>
    <w:p w14:paraId="4FCFE377" w14:textId="2429531C" w:rsidR="00B57666" w:rsidRDefault="00B57666" w:rsidP="00C74A41">
      <w:pPr>
        <w:pStyle w:val="Kommentinteksti"/>
      </w:pPr>
      <w:r w:rsidRPr="009A4C7F">
        <w:t>See Q&amp;A 1261</w:t>
      </w:r>
    </w:p>
  </w:comment>
  <w:comment w:id="5" w:author="Tekijä" w:initials="T">
    <w:p w14:paraId="32F26F91" w14:textId="784B74E0" w:rsidR="00B57666" w:rsidRDefault="00B57666">
      <w:pPr>
        <w:pStyle w:val="Kommentinteksti"/>
      </w:pPr>
      <w:r>
        <w:rPr>
          <w:rStyle w:val="Kommentinviite"/>
        </w:rPr>
        <w:annotationRef/>
      </w:r>
      <w:r>
        <w:t>To uncross C0150 and C0210</w:t>
      </w:r>
    </w:p>
  </w:comment>
  <w:comment w:id="6" w:author="Tekijä" w:initials="T">
    <w:p w14:paraId="1567E3B1" w14:textId="05500CAA" w:rsidR="00B57666" w:rsidRDefault="00B57666">
      <w:pPr>
        <w:pStyle w:val="Kommentinteksti"/>
      </w:pPr>
      <w:r>
        <w:rPr>
          <w:rStyle w:val="Kommentinviite"/>
        </w:rPr>
        <w:annotationRef/>
      </w:r>
      <w:r>
        <w:t xml:space="preserve">To uncross C0150 </w:t>
      </w:r>
    </w:p>
  </w:comment>
  <w:comment w:id="7" w:author="Tekijä" w:initials="T">
    <w:p w14:paraId="3CCE436E" w14:textId="19726C99" w:rsidR="00B57666" w:rsidRDefault="00B57666">
      <w:pPr>
        <w:pStyle w:val="Kommentinteksti"/>
      </w:pPr>
      <w:r>
        <w:rPr>
          <w:rStyle w:val="Kommentinviite"/>
        </w:rPr>
        <w:annotationRef/>
      </w:r>
      <w:r>
        <w:t xml:space="preserve">To </w:t>
      </w:r>
      <w:r w:rsidRPr="00060CE5">
        <w:t>adapt to DR 2017/1542 amendment</w:t>
      </w:r>
      <w:r>
        <w:t xml:space="preserve"> </w:t>
      </w:r>
    </w:p>
  </w:comment>
  <w:comment w:id="8" w:author="Tekijä" w:initials="T">
    <w:p w14:paraId="5FC340E8" w14:textId="77777777" w:rsidR="00B57666" w:rsidRDefault="00B57666" w:rsidP="00434172">
      <w:pPr>
        <w:pStyle w:val="Kommentinteksti"/>
      </w:pPr>
      <w:r>
        <w:rPr>
          <w:rStyle w:val="Kommentinviite"/>
        </w:rPr>
        <w:annotationRef/>
      </w:r>
      <w:r>
        <w:t xml:space="preserve">To </w:t>
      </w:r>
      <w:r w:rsidRPr="00060CE5">
        <w:t>adapt to DR 2017/1542 amendment</w:t>
      </w:r>
      <w:r>
        <w:t xml:space="preserve"> </w:t>
      </w:r>
    </w:p>
  </w:comment>
  <w:comment w:id="9" w:author="Tekijä" w:initials="T">
    <w:p w14:paraId="782ABC31" w14:textId="1FDAB78C" w:rsidR="00B57666" w:rsidRDefault="00B57666">
      <w:pPr>
        <w:pStyle w:val="Kommentinteksti"/>
      </w:pPr>
      <w:r>
        <w:rPr>
          <w:rStyle w:val="Kommentinviite"/>
        </w:rPr>
        <w:annotationRef/>
      </w:r>
      <w:r>
        <w:t xml:space="preserve">To </w:t>
      </w:r>
      <w:r w:rsidRPr="00060CE5">
        <w:t>adapt to DR 2017/1542 amendment</w:t>
      </w:r>
    </w:p>
  </w:comment>
  <w:comment w:id="10" w:author="Tekijä" w:initials="T">
    <w:p w14:paraId="0D38FC68" w14:textId="2019B559" w:rsidR="00B57666" w:rsidRDefault="00B57666">
      <w:pPr>
        <w:pStyle w:val="Kommentinteksti"/>
      </w:pPr>
      <w:r>
        <w:rPr>
          <w:rStyle w:val="Kommentinviite"/>
        </w:rPr>
        <w:annotationRef/>
      </w:r>
      <w:r>
        <w:t>To open last column following comments on VA Explanatory Notes</w:t>
      </w:r>
    </w:p>
  </w:comment>
  <w:comment w:id="11" w:author="Tekijä" w:initials="T">
    <w:p w14:paraId="14C5590F" w14:textId="10857D06" w:rsidR="00B57666" w:rsidRDefault="00B57666">
      <w:pPr>
        <w:pStyle w:val="Kommentinteksti"/>
      </w:pPr>
      <w:r>
        <w:rPr>
          <w:rStyle w:val="Kommentinviite"/>
        </w:rPr>
        <w:annotationRef/>
      </w:r>
      <w:r w:rsidRPr="0080120B">
        <w:t>Should have an option: Not reported due to exemption in accordance with general comments</w:t>
      </w:r>
      <w:r>
        <w:t xml:space="preserve"> in S.06.02 and S</w:t>
      </w:r>
      <w:r w:rsidRPr="0080120B">
        <w:t>.08.01</w:t>
      </w:r>
    </w:p>
  </w:comment>
  <w:comment w:id="12" w:author="Tekijä" w:initials="T">
    <w:p w14:paraId="5608CE42" w14:textId="66DF4341" w:rsidR="00B57666" w:rsidRPr="0077205D" w:rsidRDefault="00B57666" w:rsidP="005E00F5">
      <w:pPr>
        <w:pStyle w:val="Kommentinteksti"/>
      </w:pPr>
      <w:r w:rsidRPr="00DC329E">
        <w:rPr>
          <w:rStyle w:val="Kommentinviite"/>
          <w:highlight w:val="magenta"/>
        </w:rPr>
        <w:annotationRef/>
      </w:r>
      <w:r w:rsidRPr="0077205D">
        <w:t>Proposal from industry with the following reasoning: “</w:t>
      </w:r>
      <w:r w:rsidRPr="0077205D">
        <w:rPr>
          <w:color w:val="000000"/>
        </w:rPr>
        <w:t>Some assets do not fit into existing closed list.”</w:t>
      </w:r>
    </w:p>
  </w:comment>
  <w:comment w:id="13" w:author="Tekijä" w:initials="T">
    <w:p w14:paraId="308BD46E" w14:textId="50B9CD71" w:rsidR="00B57666" w:rsidRDefault="00B57666">
      <w:pPr>
        <w:pStyle w:val="Kommentinteksti"/>
      </w:pPr>
      <w:r>
        <w:rPr>
          <w:rStyle w:val="Kommentinviite"/>
        </w:rPr>
        <w:annotationRef/>
      </w:r>
      <w:r>
        <w:t>Clarification and alignment with Filling rules</w:t>
      </w:r>
    </w:p>
  </w:comment>
  <w:comment w:id="14" w:author="Tekijä" w:initials="T">
    <w:p w14:paraId="38A350DB" w14:textId="7515EA4B" w:rsidR="00B57666" w:rsidRDefault="00B57666">
      <w:pPr>
        <w:pStyle w:val="Kommentinteksti"/>
      </w:pPr>
      <w:r>
        <w:rPr>
          <w:rStyle w:val="Kommentinviite"/>
        </w:rPr>
        <w:annotationRef/>
      </w:r>
      <w:r>
        <w:t>Q&amp;A 1384</w:t>
      </w:r>
    </w:p>
  </w:comment>
  <w:comment w:id="15" w:author="Tekijä" w:initials="T">
    <w:p w14:paraId="23E461D3" w14:textId="3CA71D65" w:rsidR="00B57666" w:rsidRDefault="00B57666">
      <w:pPr>
        <w:pStyle w:val="Kommentinteksti"/>
      </w:pPr>
      <w:r>
        <w:rPr>
          <w:rStyle w:val="Kommentinviite"/>
        </w:rPr>
        <w:annotationRef/>
      </w:r>
      <w:r>
        <w:t>Q&amp;A 1384 and 1414</w:t>
      </w:r>
    </w:p>
  </w:comment>
  <w:comment w:id="16" w:author="Tekijä" w:initials="T">
    <w:p w14:paraId="20351742" w14:textId="750A73E8" w:rsidR="00B57666" w:rsidRPr="0079025A" w:rsidRDefault="00B57666" w:rsidP="0079025A">
      <w:pPr>
        <w:pStyle w:val="Kommentinteksti"/>
      </w:pPr>
      <w:r>
        <w:rPr>
          <w:rStyle w:val="Kommentinviite"/>
        </w:rPr>
        <w:annotationRef/>
      </w:r>
      <w:r w:rsidRPr="0079025A">
        <w:t>This item should be a string with explanation instead of a metric</w:t>
      </w:r>
    </w:p>
    <w:p w14:paraId="7CBF869D" w14:textId="54EB38C8" w:rsidR="00B57666" w:rsidRDefault="00B57666" w:rsidP="0079025A">
      <w:pPr>
        <w:pStyle w:val="Kommentinteksti"/>
      </w:pPr>
      <w:r w:rsidRPr="0079025A">
        <w:t>Q&amp;A 1246</w:t>
      </w:r>
    </w:p>
  </w:comment>
  <w:comment w:id="17" w:author="Tekijä" w:initials="T">
    <w:p w14:paraId="5AC843BB" w14:textId="06DE3DEB" w:rsidR="00B57666" w:rsidRDefault="00B57666" w:rsidP="008E6F01">
      <w:pPr>
        <w:pStyle w:val="Kommentinteksti"/>
      </w:pPr>
      <w:r w:rsidRPr="008E6F01">
        <w:t>Q&amp;A 1476</w:t>
      </w:r>
    </w:p>
    <w:p w14:paraId="30EEAFD3" w14:textId="26FF1EBD" w:rsidR="00B57666" w:rsidRDefault="00B57666">
      <w:pPr>
        <w:pStyle w:val="Kommentinteksti"/>
      </w:pPr>
    </w:p>
  </w:comment>
  <w:comment w:id="18" w:author="Tekijä" w:initials="T">
    <w:p w14:paraId="6B8E05D3" w14:textId="208B7BFF" w:rsidR="00B57666" w:rsidRDefault="00B57666">
      <w:pPr>
        <w:pStyle w:val="Kommentinteksti"/>
      </w:pPr>
      <w:r>
        <w:rPr>
          <w:rStyle w:val="Kommentinviite"/>
        </w:rPr>
        <w:annotationRef/>
      </w:r>
      <w:r>
        <w:t xml:space="preserve">To </w:t>
      </w:r>
      <w:r w:rsidRPr="00060CE5">
        <w:t>adapt to DR 2017/1542 amendment</w:t>
      </w:r>
    </w:p>
  </w:comment>
  <w:comment w:id="19" w:author="Tekijä" w:initials="T">
    <w:p w14:paraId="7E80CD8B" w14:textId="77777777" w:rsidR="00B57666" w:rsidRDefault="00B57666" w:rsidP="00434172">
      <w:pPr>
        <w:pStyle w:val="Kommentinteksti"/>
      </w:pPr>
      <w:r>
        <w:rPr>
          <w:rStyle w:val="Kommentinviite"/>
        </w:rPr>
        <w:annotationRef/>
      </w:r>
      <w:r>
        <w:t xml:space="preserve">To </w:t>
      </w:r>
      <w:r w:rsidRPr="00060CE5">
        <w:t>adapt to DR 2017/1542 amendment</w:t>
      </w:r>
    </w:p>
  </w:comment>
  <w:comment w:id="20" w:author="Tekijä" w:initials="T">
    <w:p w14:paraId="59F84A11" w14:textId="615B6B34" w:rsidR="00B57666" w:rsidRDefault="00B57666">
      <w:pPr>
        <w:pStyle w:val="Kommentinteksti"/>
      </w:pPr>
      <w:r>
        <w:rPr>
          <w:rStyle w:val="Kommentinviite"/>
        </w:rPr>
        <w:annotationRef/>
      </w:r>
      <w:r>
        <w:t xml:space="preserve">To </w:t>
      </w:r>
      <w:r w:rsidRPr="00060CE5">
        <w:t>adapt to DR 2017/1542 amendment</w:t>
      </w:r>
    </w:p>
  </w:comment>
  <w:comment w:id="21" w:author="Tekijä" w:initials="T">
    <w:p w14:paraId="0B2C84A2" w14:textId="13DB0064" w:rsidR="00B57666" w:rsidRDefault="00B57666">
      <w:pPr>
        <w:pStyle w:val="Kommentinteksti"/>
      </w:pPr>
      <w:r>
        <w:rPr>
          <w:rStyle w:val="Kommentinviite"/>
        </w:rPr>
        <w:annotationRef/>
      </w:r>
      <w:r>
        <w:t xml:space="preserve">To </w:t>
      </w:r>
      <w:r w:rsidRPr="00060CE5">
        <w:t>adapt to DR 2017/1542 amendment</w:t>
      </w:r>
    </w:p>
  </w:comment>
  <w:comment w:id="22" w:author="Tekijä" w:initials="T">
    <w:p w14:paraId="0EAE21AD" w14:textId="56D5C06B" w:rsidR="00B57666" w:rsidRDefault="00B57666">
      <w:pPr>
        <w:pStyle w:val="Kommentinteksti"/>
      </w:pPr>
      <w:r>
        <w:rPr>
          <w:rStyle w:val="Kommentinviite"/>
        </w:rPr>
        <w:annotationRef/>
      </w:r>
      <w:r>
        <w:t>As the undertaking cannot do FPS in the home-country</w:t>
      </w:r>
    </w:p>
  </w:comment>
  <w:comment w:id="23" w:author="Tekijä" w:initials="T">
    <w:p w14:paraId="6143B810" w14:textId="5B3D8E9C" w:rsidR="00B57666" w:rsidRDefault="00B57666">
      <w:pPr>
        <w:pStyle w:val="Kommentinteksti"/>
      </w:pPr>
      <w:r>
        <w:rPr>
          <w:rStyle w:val="Kommentinviite"/>
        </w:rPr>
        <w:annotationRef/>
      </w:r>
      <w:r>
        <w:t>As C0100 includes amounts for the undertaking and branches</w:t>
      </w:r>
    </w:p>
  </w:comment>
  <w:comment w:id="24" w:author="Tekijä" w:initials="T">
    <w:p w14:paraId="72E7A6F1" w14:textId="5CCA47C7" w:rsidR="00B57666" w:rsidRDefault="00B57666">
      <w:pPr>
        <w:pStyle w:val="Kommentinteksti"/>
      </w:pPr>
      <w:r>
        <w:rPr>
          <w:rStyle w:val="Kommentinviite"/>
        </w:rPr>
        <w:annotationRef/>
      </w:r>
      <w:r>
        <w:t>In line with amendment in Annex I</w:t>
      </w:r>
    </w:p>
  </w:comment>
  <w:comment w:id="25" w:author="Tekijä" w:initials="T">
    <w:p w14:paraId="0AE11421" w14:textId="318DCB63" w:rsidR="00B57666" w:rsidRDefault="00B57666">
      <w:pPr>
        <w:pStyle w:val="Kommentinteksti"/>
      </w:pPr>
      <w:r>
        <w:rPr>
          <w:rStyle w:val="Kommentinviite"/>
        </w:rPr>
        <w:annotationRef/>
      </w:r>
      <w:r>
        <w:t>In line with amendment in Annex I</w:t>
      </w:r>
    </w:p>
  </w:comment>
  <w:comment w:id="26" w:author="Tekijä" w:initials="T">
    <w:p w14:paraId="78599774" w14:textId="412965AC" w:rsidR="00B57666" w:rsidRDefault="00B57666">
      <w:pPr>
        <w:pStyle w:val="Kommentinteksti"/>
      </w:pPr>
      <w:r>
        <w:rPr>
          <w:rStyle w:val="Kommentinviite"/>
        </w:rPr>
        <w:annotationRef/>
      </w:r>
      <w:r>
        <w:t>In line with amendment in Annex I</w:t>
      </w:r>
    </w:p>
  </w:comment>
  <w:comment w:id="27" w:author="Tekijä" w:initials="T">
    <w:p w14:paraId="6C2E3BD1" w14:textId="2338F780" w:rsidR="00B57666" w:rsidRDefault="00B57666">
      <w:pPr>
        <w:pStyle w:val="Kommentinteksti"/>
      </w:pPr>
      <w:r>
        <w:rPr>
          <w:rStyle w:val="Kommentinviite"/>
        </w:rPr>
        <w:annotationRef/>
      </w:r>
      <w:r>
        <w:t>In line with amendment in Annex I</w:t>
      </w:r>
    </w:p>
  </w:comment>
  <w:comment w:id="28" w:author="Tekijä" w:initials="T">
    <w:p w14:paraId="65430E6C" w14:textId="3E490FE3" w:rsidR="00B57666" w:rsidRDefault="00B57666">
      <w:pPr>
        <w:pStyle w:val="Kommentinteksti"/>
      </w:pPr>
      <w:r>
        <w:rPr>
          <w:rStyle w:val="Kommentinviite"/>
        </w:rPr>
        <w:annotationRef/>
      </w:r>
      <w:r>
        <w:t>In line with amendment in Annex I</w:t>
      </w:r>
    </w:p>
  </w:comment>
  <w:comment w:id="29" w:author="Tekijä" w:initials="T">
    <w:p w14:paraId="0AD8F3C7" w14:textId="797AB815" w:rsidR="00B57666" w:rsidRDefault="00B57666">
      <w:pPr>
        <w:pStyle w:val="Kommentinteksti"/>
      </w:pPr>
      <w:r>
        <w:rPr>
          <w:rStyle w:val="Kommentinviite"/>
        </w:rPr>
        <w:annotationRef/>
      </w:r>
      <w:r>
        <w:t xml:space="preserve"> Filling rules</w:t>
      </w:r>
    </w:p>
  </w:comment>
  <w:comment w:id="30" w:author="Tekijä" w:initials="T">
    <w:p w14:paraId="075B280B" w14:textId="2BAFC16D" w:rsidR="00B57666" w:rsidRDefault="00B57666">
      <w:pPr>
        <w:pStyle w:val="Kommentinteksti"/>
      </w:pPr>
      <w:r>
        <w:rPr>
          <w:rStyle w:val="Kommentinviite"/>
        </w:rPr>
        <w:annotationRef/>
      </w:r>
      <w:r w:rsidRPr="00ED54CB">
        <w:t>Should be a percentage not a string.</w:t>
      </w:r>
    </w:p>
    <w:p w14:paraId="5413DA0D" w14:textId="48C40A0D" w:rsidR="00B57666" w:rsidRDefault="00B57666">
      <w:pPr>
        <w:pStyle w:val="Kommentinteksti"/>
      </w:pPr>
      <w:r>
        <w:t>The filling rules define how percentages should be reported.</w:t>
      </w:r>
    </w:p>
  </w:comment>
  <w:comment w:id="31" w:author="Tekijä" w:initials="T">
    <w:p w14:paraId="437967F9" w14:textId="568C6F75" w:rsidR="00B57666" w:rsidRPr="00212FAC" w:rsidRDefault="00B57666">
      <w:pPr>
        <w:pStyle w:val="Kommentinteksti"/>
        <w:rPr>
          <w:lang w:val="es-ES_tradnl"/>
        </w:rPr>
      </w:pPr>
      <w:r>
        <w:rPr>
          <w:rStyle w:val="Kommentinviite"/>
        </w:rPr>
        <w:annotationRef/>
      </w:r>
      <w:r w:rsidRPr="00212FAC">
        <w:rPr>
          <w:lang w:val="es-ES_tradnl"/>
        </w:rPr>
        <w:t>VA templates analysis</w:t>
      </w:r>
    </w:p>
  </w:comment>
  <w:comment w:id="32" w:author="Tekijä" w:initials="T">
    <w:p w14:paraId="4BC0C777" w14:textId="49BB531B"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33" w:author="Tekijä" w:initials="T">
    <w:p w14:paraId="5EE12C94" w14:textId="3ED80D50"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34" w:author="Tekijä" w:initials="T">
    <w:p w14:paraId="14C2F633" w14:textId="4062714F" w:rsidR="00221A34" w:rsidRPr="00EA3325" w:rsidRDefault="00221A34">
      <w:pPr>
        <w:pStyle w:val="Kommentinteksti"/>
        <w:rPr>
          <w:lang w:val="es-ES_tradnl"/>
        </w:rPr>
      </w:pPr>
      <w:r>
        <w:rPr>
          <w:rStyle w:val="Kommentinviite"/>
        </w:rPr>
        <w:annotationRef/>
      </w:r>
      <w:r w:rsidRPr="00DE56C4">
        <w:rPr>
          <w:lang w:val="es-ES_tradnl"/>
        </w:rPr>
        <w:t>VA templates analysis</w:t>
      </w:r>
    </w:p>
  </w:comment>
  <w:comment w:id="35" w:author="Tekijä" w:initials="T">
    <w:p w14:paraId="01837947" w14:textId="70A62943"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36" w:author="Tekijä" w:initials="T">
    <w:p w14:paraId="7B2DBA66" w14:textId="681E511E"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37" w:author="Tekijä" w:initials="T">
    <w:p w14:paraId="188A6282" w14:textId="4E1FBFD9" w:rsidR="00B57666" w:rsidRPr="0041515A" w:rsidRDefault="00B57666">
      <w:pPr>
        <w:pStyle w:val="Kommentinteksti"/>
        <w:rPr>
          <w:lang w:val="es-ES_tradnl"/>
        </w:rPr>
      </w:pPr>
      <w:r>
        <w:rPr>
          <w:rStyle w:val="Kommentinviite"/>
        </w:rPr>
        <w:annotationRef/>
      </w:r>
      <w:r w:rsidRPr="0041515A">
        <w:rPr>
          <w:lang w:val="es-ES_tradnl"/>
        </w:rPr>
        <w:t>VA templates analysis</w:t>
      </w:r>
    </w:p>
  </w:comment>
  <w:comment w:id="38" w:author="Tekijä" w:initials="T">
    <w:p w14:paraId="1B03E270" w14:textId="6A010726" w:rsidR="00B57666" w:rsidRPr="00212FAC" w:rsidRDefault="00B57666" w:rsidP="001E0F82">
      <w:pPr>
        <w:pStyle w:val="Kommentinteksti"/>
        <w:rPr>
          <w:lang w:val="es-ES_tradnl"/>
        </w:rPr>
      </w:pPr>
      <w:r>
        <w:rPr>
          <w:rStyle w:val="Kommentinviite"/>
        </w:rPr>
        <w:annotationRef/>
      </w:r>
      <w:r w:rsidRPr="00212FAC">
        <w:rPr>
          <w:lang w:val="es-ES_tradnl"/>
        </w:rPr>
        <w:t xml:space="preserve">VA </w:t>
      </w:r>
      <w:r w:rsidRPr="0041515A">
        <w:rPr>
          <w:lang w:val="es-ES_tradnl"/>
        </w:rPr>
        <w:t xml:space="preserve">templates </w:t>
      </w:r>
      <w:r w:rsidRPr="00212FAC">
        <w:rPr>
          <w:lang w:val="es-ES_tradnl"/>
        </w:rPr>
        <w:t>analysis</w:t>
      </w:r>
    </w:p>
  </w:comment>
  <w:comment w:id="39" w:author="Tekijä" w:initials="T">
    <w:p w14:paraId="330FD2E8" w14:textId="7DC6BBC5"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0" w:author="Tekijä" w:initials="T">
    <w:p w14:paraId="4C1E7299" w14:textId="11AF59CF"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1" w:author="Tekijä" w:initials="T">
    <w:p w14:paraId="136C5A04" w14:textId="40BC6FA0" w:rsidR="00B57666" w:rsidRPr="00212FAC" w:rsidRDefault="00B57666" w:rsidP="007B66A3">
      <w:pPr>
        <w:pStyle w:val="Kommentinteksti"/>
        <w:rPr>
          <w:lang w:val="es-ES_tradnl"/>
        </w:rPr>
      </w:pPr>
      <w:r>
        <w:rPr>
          <w:rStyle w:val="Kommentinviite"/>
        </w:rPr>
        <w:annotationRef/>
      </w:r>
      <w:r w:rsidRPr="00DE56C4">
        <w:rPr>
          <w:lang w:val="es-ES_tradnl"/>
        </w:rPr>
        <w:t>VA templates analysis</w:t>
      </w:r>
    </w:p>
  </w:comment>
  <w:comment w:id="42" w:author="Tekijä" w:initials="T">
    <w:p w14:paraId="0F1508BC" w14:textId="5F60B5EC"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3" w:author="Tekijä" w:initials="T">
    <w:p w14:paraId="4D3EBBB2" w14:textId="510EAEC7"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4" w:author="Tekijä" w:initials="T">
    <w:p w14:paraId="0D79A62C" w14:textId="0C6834A3"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5" w:author="Tekijä" w:initials="T">
    <w:p w14:paraId="7F4F9D4C" w14:textId="7158F6FB"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6" w:author="Tekijä" w:initials="T">
    <w:p w14:paraId="02BABBB5" w14:textId="65046034"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7" w:author="Tekijä" w:initials="T">
    <w:p w14:paraId="3847FF09" w14:textId="21F7D478"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8" w:author="Tekijä" w:initials="T">
    <w:p w14:paraId="5E93E676" w14:textId="0E1A245D"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9" w:author="Tekijä" w:initials="T">
    <w:p w14:paraId="1E5A84E0" w14:textId="00B3482E"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50" w:author="Tekijä" w:initials="T">
    <w:p w14:paraId="4BB6DA3B" w14:textId="2573A8C7" w:rsidR="00B57666" w:rsidRDefault="00B57666">
      <w:pPr>
        <w:pStyle w:val="Kommentinteksti"/>
      </w:pPr>
      <w:r>
        <w:rPr>
          <w:rStyle w:val="Kommentinviite"/>
        </w:rPr>
        <w:annotationRef/>
      </w:r>
      <w:r w:rsidRPr="00EA3325">
        <w:rPr>
          <w:lang w:val="es-ES_tradnl"/>
        </w:rPr>
        <w:t xml:space="preserve">Q&amp;A 1258. </w:t>
      </w:r>
      <w:r w:rsidRPr="009A4C7F">
        <w:t>It is the validity date of the coverage, not if any item is pending.</w:t>
      </w:r>
    </w:p>
  </w:comment>
  <w:comment w:id="51" w:author="Tekijä" w:initials="T">
    <w:p w14:paraId="1A2A7698" w14:textId="77777777" w:rsidR="00B57666" w:rsidRDefault="00B57666" w:rsidP="005400DF">
      <w:pPr>
        <w:pStyle w:val="Kommentinteksti"/>
      </w:pPr>
      <w:r>
        <w:rPr>
          <w:rStyle w:val="Kommentinviite"/>
        </w:rPr>
        <w:annotationRef/>
      </w:r>
      <w:r w:rsidRPr="009A4C7F">
        <w:t>Q&amp;A 1258. It is the validity date of the coverage, not if any item is pending.</w:t>
      </w:r>
    </w:p>
  </w:comment>
  <w:comment w:id="52" w:author="Tekijä" w:initials="T">
    <w:p w14:paraId="0ABE5034" w14:textId="1F699F0B" w:rsidR="00B57666" w:rsidRDefault="00B57666">
      <w:pPr>
        <w:pStyle w:val="Kommentinteksti"/>
      </w:pPr>
      <w:r>
        <w:rPr>
          <w:rStyle w:val="Kommentinviite"/>
        </w:rPr>
        <w:annotationRef/>
      </w:r>
      <w:r>
        <w:t>Q&amp;A 1416</w:t>
      </w:r>
    </w:p>
  </w:comment>
  <w:comment w:id="53" w:author="Tekijä" w:initials="T">
    <w:p w14:paraId="44823C3C" w14:textId="77777777" w:rsidR="00B57666" w:rsidRPr="00C6544C" w:rsidRDefault="00B57666" w:rsidP="009328D3">
      <w:pPr>
        <w:pStyle w:val="Kommentinteksti"/>
      </w:pPr>
      <w:r>
        <w:rPr>
          <w:rStyle w:val="Kommentinviite"/>
        </w:rPr>
        <w:annotationRef/>
      </w:r>
      <w:r>
        <w:t>Q&amp;A 1416</w:t>
      </w:r>
      <w:r w:rsidRPr="00D20447">
        <w:t xml:space="preserve"> </w:t>
      </w:r>
      <w:r>
        <w:t xml:space="preserve"> </w:t>
      </w:r>
    </w:p>
  </w:comment>
  <w:comment w:id="54" w:author="Tekijä" w:initials="T">
    <w:p w14:paraId="1ACF92F6" w14:textId="60F00C62" w:rsidR="00B57666" w:rsidRPr="00ED6EB2" w:rsidRDefault="00B57666" w:rsidP="00D67402">
      <w:pPr>
        <w:pStyle w:val="Kommentinteksti"/>
      </w:pPr>
      <w:r>
        <w:rPr>
          <w:rStyle w:val="Kommentinviite"/>
        </w:rPr>
        <w:annotationRef/>
      </w:r>
      <w:r w:rsidRPr="00ED6EB2">
        <w:t xml:space="preserve">Proposal from industry with the following reasoning: </w:t>
      </w:r>
    </w:p>
    <w:p w14:paraId="2845A69C" w14:textId="77777777" w:rsidR="00B57666" w:rsidRPr="00ED6EB2" w:rsidRDefault="00B57666" w:rsidP="00D67402">
      <w:pPr>
        <w:pStyle w:val="CM1"/>
        <w:numPr>
          <w:ilvl w:val="0"/>
          <w:numId w:val="18"/>
        </w:numPr>
        <w:spacing w:before="200" w:after="200"/>
        <w:rPr>
          <w:rFonts w:ascii="Times New Roman" w:hAnsi="Times New Roman"/>
          <w:sz w:val="20"/>
          <w:szCs w:val="20"/>
        </w:rPr>
      </w:pPr>
      <w:r w:rsidRPr="00ED6EB2">
        <w:rPr>
          <w:rFonts w:ascii="Times New Roman" w:hAnsi="Times New Roman"/>
          <w:sz w:val="20"/>
          <w:szCs w:val="20"/>
        </w:rPr>
        <w:t xml:space="preserve">The Capital Requirements Directive 2006/48/EC (that was in the “Definitions of the CIC Table” until the 23.10.2015 EIOPA update) was repealed by Directive 2013/36/EU on 26 June 2013. As a result the definition for CIC code 12 was updated. The slight problem was that Annex VI, Part 1, numbers 4 and 5 of 2006/48/EC that was referred to in the definition were </w:t>
      </w:r>
      <w:r w:rsidRPr="00ED6EB2">
        <w:rPr>
          <w:rFonts w:ascii="Times New Roman" w:hAnsi="Times New Roman"/>
          <w:i/>
          <w:iCs/>
          <w:sz w:val="20"/>
          <w:szCs w:val="20"/>
        </w:rPr>
        <w:t xml:space="preserve">not </w:t>
      </w:r>
      <w:r w:rsidRPr="00ED6EB2">
        <w:rPr>
          <w:rFonts w:ascii="Times New Roman" w:hAnsi="Times New Roman"/>
          <w:sz w:val="20"/>
          <w:szCs w:val="20"/>
        </w:rPr>
        <w:t xml:space="preserve">carried forward into the replacing Directive 2013/36/EC. </w:t>
      </w:r>
    </w:p>
    <w:p w14:paraId="3823894D" w14:textId="108C2DCF" w:rsidR="00B57666" w:rsidRPr="00C6350F" w:rsidRDefault="00B57666" w:rsidP="002925BA">
      <w:pPr>
        <w:pStyle w:val="CM1"/>
        <w:numPr>
          <w:ilvl w:val="0"/>
          <w:numId w:val="18"/>
        </w:numPr>
        <w:spacing w:before="200" w:after="200"/>
        <w:rPr>
          <w:rFonts w:ascii="Times New Roman" w:hAnsi="Times New Roman"/>
          <w:color w:val="1F497D"/>
          <w:sz w:val="20"/>
          <w:szCs w:val="20"/>
        </w:rPr>
      </w:pPr>
      <w:r w:rsidRPr="00ED6EB2">
        <w:rPr>
          <w:rFonts w:ascii="Times New Roman" w:hAnsi="Times New Roman"/>
          <w:sz w:val="20"/>
          <w:szCs w:val="20"/>
        </w:rPr>
        <w:t>The relevant replacing legislation, also enacted on 26 June 2013, was in fact paragraph 2 of Article 117 of the new supporting Regulation (EU) No 575/2013 (for multilateral development banks) and Article 118 of Regulation (EU) No 575/2013 (for international organisations). This was</w:t>
      </w:r>
      <w:r w:rsidRPr="00C6350F">
        <w:rPr>
          <w:rFonts w:ascii="Times New Roman" w:hAnsi="Times New Roman"/>
          <w:sz w:val="20"/>
          <w:szCs w:val="20"/>
        </w:rPr>
        <w:t xml:space="preserve"> correctly used in the updating of the general definition of CIC code 1, Government Bonds, in the same table. </w:t>
      </w:r>
    </w:p>
  </w:comment>
  <w:comment w:id="55" w:author="Tekijä" w:initials="T">
    <w:p w14:paraId="6C2BD5EF" w14:textId="22267742" w:rsidR="00B57666" w:rsidRDefault="00B57666">
      <w:pPr>
        <w:pStyle w:val="Kommentinteksti"/>
      </w:pPr>
      <w:r>
        <w:rPr>
          <w:rStyle w:val="Kommentinviite"/>
        </w:rPr>
        <w:annotationRef/>
      </w:r>
      <w:r>
        <w:t>To align it with the instructions</w:t>
      </w:r>
    </w:p>
  </w:comment>
  <w:comment w:id="56" w:author="Tekijä" w:initials="T">
    <w:p w14:paraId="2EBC2803" w14:textId="586024DC" w:rsidR="00B57666" w:rsidRDefault="00B57666">
      <w:pPr>
        <w:pStyle w:val="Kommentinteksti"/>
      </w:pPr>
      <w:r>
        <w:rPr>
          <w:rStyle w:val="Kommentinviite"/>
        </w:rPr>
        <w:annotationRef/>
      </w:r>
      <w:r w:rsidRPr="00182A17">
        <w:t>Reference to claims management expenses is missing</w:t>
      </w:r>
    </w:p>
  </w:comment>
  <w:comment w:id="57" w:author="Tekijä" w:initials="T">
    <w:p w14:paraId="45E2DF72" w14:textId="62F17BD5" w:rsidR="00B57666" w:rsidRDefault="00B57666" w:rsidP="00FE438C">
      <w:pPr>
        <w:pStyle w:val="Kommentinteksti"/>
      </w:pPr>
      <w:r>
        <w:rPr>
          <w:rStyle w:val="Kommentinviite"/>
        </w:rPr>
        <w:annotationRef/>
      </w:r>
      <w:r w:rsidRPr="00EF37E3">
        <w:t xml:space="preserve">Should not be applicable for any loan (see Q&amp;A 1464) </w:t>
      </w:r>
    </w:p>
  </w:comment>
  <w:comment w:id="58" w:author="Tekijä" w:initials="T">
    <w:p w14:paraId="7EDA7F4C" w14:textId="3CBA0359" w:rsidR="00B57666" w:rsidRDefault="00B57666">
      <w:pPr>
        <w:pStyle w:val="Kommentinteksti"/>
      </w:pPr>
      <w:r>
        <w:rPr>
          <w:rStyle w:val="Kommentinviite"/>
        </w:rPr>
        <w:annotationRef/>
      </w:r>
      <w:r w:rsidRPr="00D20447">
        <w:t>Q&amp;A1410</w:t>
      </w:r>
    </w:p>
  </w:comment>
  <w:comment w:id="59" w:author="Tekijä" w:initials="T">
    <w:p w14:paraId="5D975EB8" w14:textId="77777777" w:rsidR="00B57666" w:rsidRDefault="00B57666" w:rsidP="0007217E">
      <w:pPr>
        <w:pStyle w:val="Kommentinteksti"/>
      </w:pPr>
      <w:r>
        <w:rPr>
          <w:rStyle w:val="Kommentinviite"/>
        </w:rPr>
        <w:annotationRef/>
      </w:r>
      <w:r>
        <w:t>To align with correction previously done in S.06.02</w:t>
      </w:r>
    </w:p>
  </w:comment>
  <w:comment w:id="60" w:author="Tekijä" w:initials="T">
    <w:p w14:paraId="478ABBEC" w14:textId="7CAD41A5" w:rsidR="00B57666" w:rsidRDefault="00B57666">
      <w:pPr>
        <w:pStyle w:val="Kommentinteksti"/>
      </w:pPr>
      <w:r>
        <w:rPr>
          <w:rStyle w:val="Kommentinviite"/>
        </w:rPr>
        <w:annotationRef/>
      </w:r>
      <w:r>
        <w:t>Should be removed, not applicable here</w:t>
      </w:r>
    </w:p>
  </w:comment>
  <w:comment w:id="61" w:author="Tekijä" w:initials="T">
    <w:p w14:paraId="4714E427" w14:textId="0DA01C2E" w:rsidR="00B57666" w:rsidRDefault="00B57666">
      <w:pPr>
        <w:pStyle w:val="Kommentinteksti"/>
      </w:pPr>
      <w:r>
        <w:rPr>
          <w:rStyle w:val="Kommentinviite"/>
        </w:rPr>
        <w:annotationRef/>
      </w:r>
      <w:r>
        <w:t>To align with correction previously done in S.06.02</w:t>
      </w:r>
    </w:p>
  </w:comment>
  <w:comment w:id="62" w:author="Tekijä" w:initials="T">
    <w:p w14:paraId="25AE30E7" w14:textId="054E9A46" w:rsidR="00B57666" w:rsidRDefault="00B57666">
      <w:pPr>
        <w:pStyle w:val="Kommentinteksti"/>
      </w:pPr>
      <w:r>
        <w:rPr>
          <w:rStyle w:val="Kommentinviite"/>
        </w:rPr>
        <w:annotationRef/>
      </w:r>
      <w:r>
        <w:t>Q&amp;A 1240</w:t>
      </w:r>
    </w:p>
  </w:comment>
  <w:comment w:id="63" w:author="Tekijä" w:initials="T">
    <w:p w14:paraId="4615E57E" w14:textId="77777777" w:rsidR="00B57666" w:rsidRDefault="00B57666" w:rsidP="008E3535">
      <w:pPr>
        <w:pStyle w:val="Kommentinteksti"/>
      </w:pPr>
      <w:r>
        <w:rPr>
          <w:rStyle w:val="Kommentinviite"/>
        </w:rPr>
        <w:annotationRef/>
      </w:r>
      <w:r w:rsidRPr="00BC3082">
        <w:t>Clarification</w:t>
      </w:r>
    </w:p>
    <w:p w14:paraId="5111FE12" w14:textId="0C97A8D5" w:rsidR="00B57666" w:rsidRDefault="00B57666" w:rsidP="008E3535">
      <w:pPr>
        <w:pStyle w:val="Kommentinteksti"/>
      </w:pPr>
      <w:r w:rsidRPr="00FE438C">
        <w:t>that what we want is From Article 81 of the Delegated Regulation</w:t>
      </w:r>
      <w:r>
        <w:t>.</w:t>
      </w:r>
      <w:r w:rsidRPr="00FE438C">
        <w:t>it seems that the adjustment is the difference between the restricted own funds and the notional SCR.</w:t>
      </w:r>
    </w:p>
  </w:comment>
  <w:comment w:id="64" w:author="Tekijä" w:initials="T">
    <w:p w14:paraId="59ECA5AF" w14:textId="17EE56B3" w:rsidR="00B57666" w:rsidRPr="00526A4A" w:rsidRDefault="00B57666" w:rsidP="00526A4A">
      <w:pPr>
        <w:pStyle w:val="Kommentinteksti"/>
      </w:pPr>
      <w:r>
        <w:rPr>
          <w:rStyle w:val="Kommentinviite"/>
        </w:rPr>
        <w:annotationRef/>
      </w:r>
      <w:r>
        <w:t>Correction</w:t>
      </w:r>
    </w:p>
    <w:p w14:paraId="669D18A4" w14:textId="77777777" w:rsidR="00B57666" w:rsidRPr="00597838" w:rsidRDefault="00B57666" w:rsidP="00526A4A">
      <w:pPr>
        <w:pStyle w:val="Luettelokappale"/>
        <w:ind w:left="459"/>
        <w:rPr>
          <w:sz w:val="20"/>
          <w:szCs w:val="20"/>
          <w:lang w:eastAsia="pt-PT"/>
        </w:rPr>
      </w:pPr>
      <w:r w:rsidRPr="00597838">
        <w:rPr>
          <w:sz w:val="20"/>
          <w:szCs w:val="20"/>
          <w:lang w:eastAsia="pt-PT"/>
        </w:rPr>
        <w:t>The instructions for R0010 reads per below however it does not capture columns C0110 to C0140 for the Technical Provisions calculated as a Whole which are not crossed out and hence should be populated.</w:t>
      </w:r>
    </w:p>
    <w:p w14:paraId="33C74543" w14:textId="77777777" w:rsidR="00B57666" w:rsidRPr="00597838" w:rsidRDefault="00B57666" w:rsidP="00526A4A">
      <w:pPr>
        <w:pStyle w:val="Luettelokappale"/>
        <w:ind w:left="601" w:hanging="142"/>
        <w:rPr>
          <w:sz w:val="20"/>
          <w:szCs w:val="20"/>
          <w:lang w:eastAsia="pt-PT"/>
        </w:rPr>
      </w:pPr>
      <w:r w:rsidRPr="00597838">
        <w:rPr>
          <w:sz w:val="20"/>
          <w:szCs w:val="20"/>
          <w:lang w:eastAsia="pt-PT"/>
        </w:rPr>
        <w:t>R0010 is inconsistent with R0020 which covers C0100-C0140.</w:t>
      </w:r>
    </w:p>
    <w:p w14:paraId="118E6722" w14:textId="188BB86C" w:rsidR="00B57666" w:rsidRPr="00526A4A" w:rsidRDefault="00B57666" w:rsidP="00526A4A">
      <w:pPr>
        <w:pStyle w:val="Kommentinteksti"/>
        <w:rPr>
          <w:rFonts w:ascii="Verdana" w:hAnsi="Verdana"/>
        </w:rPr>
      </w:pPr>
      <w:r w:rsidRPr="00597838">
        <w:t>If C0110, C0130, C0140, C0150 (the sub-classes of life accepted reinsurance) are required for row R0020, it seems that these columns should be required for R0010, because R0020 is the RI recoverables associated with R0010.</w:t>
      </w:r>
    </w:p>
  </w:comment>
  <w:comment w:id="65" w:author="Tekijä" w:initials="T">
    <w:p w14:paraId="313B27A6" w14:textId="77777777" w:rsidR="00B57666" w:rsidRDefault="00B57666" w:rsidP="002608F7">
      <w:pPr>
        <w:pStyle w:val="Kommentinteksti"/>
      </w:pPr>
      <w:r>
        <w:rPr>
          <w:rStyle w:val="Kommentinviite"/>
        </w:rPr>
        <w:annotationRef/>
      </w:r>
      <w:r>
        <w:t>Amendment lost in the process last year</w:t>
      </w:r>
    </w:p>
  </w:comment>
  <w:comment w:id="66" w:author="Tekijä" w:initials="T">
    <w:p w14:paraId="4B0A9C52" w14:textId="54D64FB1" w:rsidR="00B57666" w:rsidRDefault="00B57666">
      <w:pPr>
        <w:pStyle w:val="Kommentinteksti"/>
      </w:pPr>
      <w:r>
        <w:rPr>
          <w:rStyle w:val="Kommentinviite"/>
        </w:rPr>
        <w:annotationRef/>
      </w:r>
      <w:r w:rsidRPr="00526A4A">
        <w:t>ENW telco 8/11</w:t>
      </w:r>
    </w:p>
  </w:comment>
  <w:comment w:id="67" w:author="Tekijä" w:initials="T">
    <w:p w14:paraId="612C6008" w14:textId="77777777" w:rsidR="00B57666" w:rsidRDefault="00B57666" w:rsidP="0096787D">
      <w:pPr>
        <w:pStyle w:val="Kommentinteksti"/>
      </w:pPr>
      <w:r>
        <w:rPr>
          <w:rStyle w:val="Kommentinviite"/>
        </w:rPr>
        <w:annotationRef/>
      </w:r>
      <w:r>
        <w:t>To provide better clarity</w:t>
      </w:r>
    </w:p>
  </w:comment>
  <w:comment w:id="68" w:author="Tekijä" w:initials="T">
    <w:p w14:paraId="7D54CC4D" w14:textId="79A63C75" w:rsidR="00B57666" w:rsidRDefault="00B57666" w:rsidP="00F507E7">
      <w:pPr>
        <w:pStyle w:val="Kommentinteksti"/>
      </w:pPr>
      <w:r>
        <w:rPr>
          <w:rStyle w:val="Kommentinviite"/>
        </w:rPr>
        <w:annotationRef/>
      </w:r>
      <w:r>
        <w:t>To synchronise with S.03.03 where it is in the general comments section</w:t>
      </w:r>
    </w:p>
  </w:comment>
  <w:comment w:id="69" w:author="Tekijä" w:initials="T">
    <w:p w14:paraId="4DBCFFE7" w14:textId="439BAC15" w:rsidR="00B57666" w:rsidRDefault="00B57666">
      <w:pPr>
        <w:pStyle w:val="Kommentinteksti"/>
      </w:pPr>
      <w:r>
        <w:rPr>
          <w:rStyle w:val="Kommentinviite"/>
        </w:rPr>
        <w:annotationRef/>
      </w:r>
      <w:r>
        <w:t>To synchronise with S.03.03 this is now included in the general comments section</w:t>
      </w:r>
    </w:p>
  </w:comment>
  <w:comment w:id="70" w:author="Tekijä" w:initials="T">
    <w:p w14:paraId="53918BA3" w14:textId="4592FE0F" w:rsidR="00B57666" w:rsidRDefault="00B57666">
      <w:pPr>
        <w:pStyle w:val="Kommentinteksti"/>
      </w:pPr>
      <w:r>
        <w:rPr>
          <w:rStyle w:val="Kommentinviite"/>
        </w:rPr>
        <w:annotationRef/>
      </w:r>
      <w:r>
        <w:t>To synchronise with S.03.03 this is now included in the general comments section</w:t>
      </w:r>
    </w:p>
  </w:comment>
  <w:comment w:id="71" w:author="Tekijä" w:initials="T">
    <w:p w14:paraId="3FE2768F" w14:textId="72D5F3E1" w:rsidR="00B57666" w:rsidRDefault="00B57666">
      <w:pPr>
        <w:pStyle w:val="Kommentinteksti"/>
      </w:pPr>
      <w:r>
        <w:rPr>
          <w:rStyle w:val="Kommentinviite"/>
        </w:rPr>
        <w:annotationRef/>
      </w:r>
      <w:r>
        <w:t>In line with Q&amp;A 772</w:t>
      </w:r>
    </w:p>
  </w:comment>
  <w:comment w:id="72" w:author="Tekijä" w:initials="T">
    <w:p w14:paraId="28B29275" w14:textId="2EBFA860" w:rsidR="00B57666" w:rsidRDefault="00B57666">
      <w:pPr>
        <w:pStyle w:val="Kommentinteksti"/>
      </w:pPr>
      <w:r>
        <w:rPr>
          <w:rStyle w:val="Kommentinviite"/>
        </w:rPr>
        <w:annotationRef/>
      </w:r>
      <w:r w:rsidRPr="00F14476">
        <w:t>Should be “provided” in line with other similar amendments in 2017 (it was missed then)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890B99" w15:done="0"/>
  <w15:commentEx w15:paraId="4E9D387F" w15:done="0"/>
  <w15:commentEx w15:paraId="09862891" w15:done="0"/>
  <w15:commentEx w15:paraId="4FCFE377" w15:done="0"/>
  <w15:commentEx w15:paraId="32F26F91" w15:done="0"/>
  <w15:commentEx w15:paraId="1567E3B1" w15:done="0"/>
  <w15:commentEx w15:paraId="3CCE436E" w15:done="0"/>
  <w15:commentEx w15:paraId="5FC340E8" w15:done="0"/>
  <w15:commentEx w15:paraId="782ABC31" w15:done="0"/>
  <w15:commentEx w15:paraId="0D38FC68" w15:done="0"/>
  <w15:commentEx w15:paraId="14C5590F" w15:done="0"/>
  <w15:commentEx w15:paraId="5608CE42" w15:done="0"/>
  <w15:commentEx w15:paraId="308BD46E" w15:done="0"/>
  <w15:commentEx w15:paraId="38A350DB" w15:done="0"/>
  <w15:commentEx w15:paraId="23E461D3" w15:done="0"/>
  <w15:commentEx w15:paraId="7CBF869D" w15:done="0"/>
  <w15:commentEx w15:paraId="30EEAFD3" w15:done="0"/>
  <w15:commentEx w15:paraId="6B8E05D3" w15:done="0"/>
  <w15:commentEx w15:paraId="7E80CD8B" w15:done="0"/>
  <w15:commentEx w15:paraId="59F84A11" w15:done="0"/>
  <w15:commentEx w15:paraId="0B2C84A2" w15:done="0"/>
  <w15:commentEx w15:paraId="0EAE21AD" w15:done="0"/>
  <w15:commentEx w15:paraId="6143B810" w15:done="0"/>
  <w15:commentEx w15:paraId="72E7A6F1" w15:done="0"/>
  <w15:commentEx w15:paraId="0AE11421" w15:done="0"/>
  <w15:commentEx w15:paraId="78599774" w15:done="0"/>
  <w15:commentEx w15:paraId="6C2E3BD1" w15:done="0"/>
  <w15:commentEx w15:paraId="65430E6C" w15:done="0"/>
  <w15:commentEx w15:paraId="0AD8F3C7" w15:done="0"/>
  <w15:commentEx w15:paraId="5413DA0D" w15:done="0"/>
  <w15:commentEx w15:paraId="437967F9" w15:done="0"/>
  <w15:commentEx w15:paraId="4BC0C777" w15:done="0"/>
  <w15:commentEx w15:paraId="5EE12C94" w15:done="0"/>
  <w15:commentEx w15:paraId="14C2F633" w15:done="0"/>
  <w15:commentEx w15:paraId="01837947" w15:done="0"/>
  <w15:commentEx w15:paraId="7B2DBA66" w15:done="0"/>
  <w15:commentEx w15:paraId="188A6282" w15:done="0"/>
  <w15:commentEx w15:paraId="1B03E270" w15:done="0"/>
  <w15:commentEx w15:paraId="330FD2E8" w15:done="0"/>
  <w15:commentEx w15:paraId="4C1E7299" w15:done="0"/>
  <w15:commentEx w15:paraId="136C5A04" w15:done="0"/>
  <w15:commentEx w15:paraId="0F1508BC" w15:done="0"/>
  <w15:commentEx w15:paraId="4D3EBBB2" w15:done="0"/>
  <w15:commentEx w15:paraId="0D79A62C" w15:done="0"/>
  <w15:commentEx w15:paraId="7F4F9D4C" w15:done="0"/>
  <w15:commentEx w15:paraId="02BABBB5" w15:done="0"/>
  <w15:commentEx w15:paraId="3847FF09" w15:done="0"/>
  <w15:commentEx w15:paraId="5E93E676" w15:done="0"/>
  <w15:commentEx w15:paraId="1E5A84E0" w15:done="0"/>
  <w15:commentEx w15:paraId="4BB6DA3B" w15:done="0"/>
  <w15:commentEx w15:paraId="1A2A7698" w15:done="0"/>
  <w15:commentEx w15:paraId="0ABE5034" w15:done="0"/>
  <w15:commentEx w15:paraId="44823C3C" w15:done="0"/>
  <w15:commentEx w15:paraId="3823894D" w15:done="0"/>
  <w15:commentEx w15:paraId="6C2BD5EF" w15:done="0"/>
  <w15:commentEx w15:paraId="2EBC2803" w15:done="0"/>
  <w15:commentEx w15:paraId="45E2DF72" w15:done="0"/>
  <w15:commentEx w15:paraId="7EDA7F4C" w15:done="0"/>
  <w15:commentEx w15:paraId="5D975EB8" w15:done="0"/>
  <w15:commentEx w15:paraId="478ABBEC" w15:done="0"/>
  <w15:commentEx w15:paraId="4714E427" w15:done="0"/>
  <w15:commentEx w15:paraId="25AE30E7" w15:done="0"/>
  <w15:commentEx w15:paraId="5111FE12" w15:done="0"/>
  <w15:commentEx w15:paraId="118E6722" w15:done="0"/>
  <w15:commentEx w15:paraId="313B27A6" w15:done="0"/>
  <w15:commentEx w15:paraId="4B0A9C52" w15:done="0"/>
  <w15:commentEx w15:paraId="612C6008" w15:done="0"/>
  <w15:commentEx w15:paraId="7D54CC4D" w15:done="0"/>
  <w15:commentEx w15:paraId="4DBCFFE7" w15:done="0"/>
  <w15:commentEx w15:paraId="53918BA3" w15:done="0"/>
  <w15:commentEx w15:paraId="3FE2768F" w15:done="0"/>
  <w15:commentEx w15:paraId="28B292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E83C7" w14:textId="77777777" w:rsidR="0001510C" w:rsidRDefault="0001510C" w:rsidP="001320FD">
      <w:r>
        <w:separator/>
      </w:r>
    </w:p>
  </w:endnote>
  <w:endnote w:type="continuationSeparator" w:id="0">
    <w:p w14:paraId="1B7FA7BC" w14:textId="77777777" w:rsidR="0001510C" w:rsidRDefault="0001510C" w:rsidP="001320FD">
      <w:r>
        <w:continuationSeparator/>
      </w:r>
    </w:p>
  </w:endnote>
  <w:endnote w:type="continuationNotice" w:id="1">
    <w:p w14:paraId="7AEFE516" w14:textId="77777777" w:rsidR="0001510C" w:rsidRDefault="00015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142B4" w14:textId="77777777" w:rsidR="00B57666" w:rsidRDefault="00B57666">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2B14C" w14:textId="77777777" w:rsidR="00B57666" w:rsidRPr="00A158C8" w:rsidRDefault="00B57666" w:rsidP="00A158C8">
    <w:pPr>
      <w:pStyle w:val="FooterCoverPage"/>
      <w:rPr>
        <w:rFonts w:ascii="Arial" w:hAnsi="Arial" w:cs="Arial"/>
        <w:b/>
        <w:sz w:val="48"/>
      </w:rPr>
    </w:pPr>
    <w:r w:rsidRPr="00A158C8">
      <w:rPr>
        <w:rFonts w:ascii="Arial" w:hAnsi="Arial" w:cs="Arial"/>
        <w:b/>
        <w:sz w:val="48"/>
      </w:rPr>
      <w:t>EN</w:t>
    </w:r>
    <w:r w:rsidRPr="00A158C8">
      <w:rPr>
        <w:rFonts w:ascii="Arial" w:hAnsi="Arial" w:cs="Arial"/>
        <w:b/>
        <w:sz w:val="48"/>
      </w:rPr>
      <w:tab/>
    </w:r>
    <w:r w:rsidRPr="00A158C8">
      <w:rPr>
        <w:rFonts w:ascii="Arial" w:hAnsi="Arial" w:cs="Arial"/>
        <w:b/>
        <w:sz w:val="48"/>
      </w:rPr>
      <w:tab/>
    </w:r>
    <w:fldSimple w:instr=" DOCVARIABLE &quot;LW_Confidence&quot; \* MERGEFORMAT ">
      <w:r>
        <w:t xml:space="preserve"> </w:t>
      </w:r>
    </w:fldSimple>
    <w:r w:rsidRPr="00A158C8">
      <w:tab/>
    </w:r>
    <w:r w:rsidRPr="00A158C8">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2B14E" w14:textId="77777777" w:rsidR="00B57666" w:rsidRPr="00A158C8" w:rsidRDefault="00B57666" w:rsidP="0077205D">
    <w:pPr>
      <w:pStyle w:val="Alatunnist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2B151" w14:textId="77777777" w:rsidR="00B57666" w:rsidRDefault="00B57666">
    <w:pPr>
      <w:pStyle w:val="Alatunnist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385957"/>
      <w:docPartObj>
        <w:docPartGallery w:val="Page Numbers (Bottom of Page)"/>
        <w:docPartUnique/>
      </w:docPartObj>
    </w:sdtPr>
    <w:sdtEndPr>
      <w:rPr>
        <w:noProof/>
      </w:rPr>
    </w:sdtEndPr>
    <w:sdtContent>
      <w:p w14:paraId="5BB2B152" w14:textId="6E522DFC" w:rsidR="00B57666" w:rsidRDefault="00B57666">
        <w:pPr>
          <w:pStyle w:val="Alatunniste"/>
          <w:jc w:val="right"/>
        </w:pPr>
        <w:r>
          <w:fldChar w:fldCharType="begin"/>
        </w:r>
        <w:r>
          <w:instrText xml:space="preserve"> PAGE   \* MERGEFORMAT </w:instrText>
        </w:r>
        <w:r>
          <w:fldChar w:fldCharType="separate"/>
        </w:r>
        <w:r w:rsidR="00B4711C">
          <w:rPr>
            <w:noProof/>
          </w:rPr>
          <w:t>12</w:t>
        </w:r>
        <w:r>
          <w:rPr>
            <w:noProof/>
          </w:rPr>
          <w:fldChar w:fldCharType="end"/>
        </w:r>
      </w:p>
    </w:sdtContent>
  </w:sdt>
  <w:p w14:paraId="5BB2B153" w14:textId="77777777" w:rsidR="00B57666" w:rsidRDefault="00B57666">
    <w:pPr>
      <w:pStyle w:val="Alatunnist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438568"/>
      <w:docPartObj>
        <w:docPartGallery w:val="Page Numbers (Bottom of Page)"/>
        <w:docPartUnique/>
      </w:docPartObj>
    </w:sdtPr>
    <w:sdtEndPr>
      <w:rPr>
        <w:noProof/>
      </w:rPr>
    </w:sdtEndPr>
    <w:sdtContent>
      <w:p w14:paraId="5BB2B155" w14:textId="5F539424" w:rsidR="00B57666" w:rsidRDefault="00B57666" w:rsidP="00D61264">
        <w:pPr>
          <w:pStyle w:val="Alatunniste"/>
          <w:jc w:val="right"/>
        </w:pPr>
        <w:r>
          <w:fldChar w:fldCharType="begin"/>
        </w:r>
        <w:r>
          <w:instrText xml:space="preserve"> PAGE   \* MERGEFORMAT </w:instrText>
        </w:r>
        <w:r>
          <w:fldChar w:fldCharType="separate"/>
        </w:r>
        <w:r w:rsidR="00B4711C">
          <w:rPr>
            <w:noProof/>
          </w:rPr>
          <w:t>2</w:t>
        </w:r>
        <w:r>
          <w:rPr>
            <w:noProof/>
          </w:rPr>
          <w:fldChar w:fldCharType="end"/>
        </w:r>
      </w:p>
    </w:sdtContent>
  </w:sdt>
  <w:p w14:paraId="5BB2B156" w14:textId="77777777" w:rsidR="00B57666" w:rsidRDefault="00B57666">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F288D" w14:textId="77777777" w:rsidR="0001510C" w:rsidRDefault="0001510C" w:rsidP="001320FD">
      <w:r>
        <w:separator/>
      </w:r>
    </w:p>
  </w:footnote>
  <w:footnote w:type="continuationSeparator" w:id="0">
    <w:p w14:paraId="70B98E69" w14:textId="77777777" w:rsidR="0001510C" w:rsidRDefault="0001510C" w:rsidP="001320FD">
      <w:r>
        <w:continuationSeparator/>
      </w:r>
    </w:p>
  </w:footnote>
  <w:footnote w:type="continuationNotice" w:id="1">
    <w:p w14:paraId="29551961" w14:textId="77777777" w:rsidR="0001510C" w:rsidRDefault="0001510C"/>
  </w:footnote>
  <w:footnote w:id="2">
    <w:p w14:paraId="5BB2B157" w14:textId="77777777" w:rsidR="00B57666" w:rsidRPr="006833BE" w:rsidRDefault="00B57666" w:rsidP="00E261A4">
      <w:pPr>
        <w:pStyle w:val="Alaviitteenteksti"/>
        <w:rPr>
          <w:sz w:val="18"/>
          <w:szCs w:val="18"/>
        </w:rPr>
      </w:pPr>
      <w:r>
        <w:rPr>
          <w:rStyle w:val="Alaviitteenviite"/>
        </w:rPr>
        <w:footnoteRef/>
      </w:r>
      <w:r w:rsidRPr="00B63F7E">
        <w:t xml:space="preserve"> </w:t>
      </w:r>
      <w:r w:rsidRPr="006833BE">
        <w:rPr>
          <w:sz w:val="18"/>
          <w:szCs w:val="18"/>
        </w:rPr>
        <w:t>OJ L 335, 17.12.2009, p.1.</w:t>
      </w:r>
    </w:p>
  </w:footnote>
  <w:footnote w:id="3">
    <w:p w14:paraId="5BB2B158" w14:textId="77777777" w:rsidR="00B57666" w:rsidRPr="007E4F3B" w:rsidRDefault="00B57666" w:rsidP="00E261A4">
      <w:pPr>
        <w:pStyle w:val="Alaviitteenteksti"/>
        <w:rPr>
          <w:sz w:val="18"/>
          <w:szCs w:val="18"/>
        </w:rPr>
      </w:pPr>
      <w:r>
        <w:rPr>
          <w:rStyle w:val="Alaviitteenviite"/>
        </w:rPr>
        <w:footnoteRef/>
      </w:r>
      <w:r w:rsidRPr="00B63F7E">
        <w:t xml:space="preserve"> </w:t>
      </w:r>
      <w:r w:rsidRPr="00B63F7E">
        <w:rPr>
          <w:sz w:val="18"/>
          <w:szCs w:val="18"/>
        </w:rPr>
        <w:t>Regulation (EU) No 1094/2010 of the European Parliament and of the Council of 24 November 2010 establishing a European Supervisory Authority (European Insurance and Occupational Pensions Authority), amending Decision No 716/2009/EC and repealing Commission Decision 2009/79/EC (OJ L 331, 15.12.2010, p. 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73EBD" w14:textId="77777777" w:rsidR="00B57666" w:rsidRDefault="00B57666">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64CD" w14:textId="77777777" w:rsidR="00B57666" w:rsidRDefault="00B57666">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2B14D" w14:textId="77777777" w:rsidR="00B57666" w:rsidRPr="00A158C8" w:rsidRDefault="00B57666" w:rsidP="0077205D">
    <w:pPr>
      <w:pStyle w:val="Yltunnis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2B14F" w14:textId="77777777" w:rsidR="00B57666" w:rsidRDefault="00B57666">
    <w:pPr>
      <w:pStyle w:val="Yltunnis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2B150" w14:textId="77777777" w:rsidR="00B57666" w:rsidRDefault="00B57666">
    <w:pPr>
      <w:pStyle w:val="Yltunnis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2B154" w14:textId="77777777" w:rsidR="00B57666" w:rsidRDefault="00B57666">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7DEC8B4"/>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5681622"/>
    <w:multiLevelType w:val="hybridMultilevel"/>
    <w:tmpl w:val="595A44AC"/>
    <w:lvl w:ilvl="0" w:tplc="CF2EAB54">
      <w:start w:val="1"/>
      <w:numFmt w:val="lowerLetter"/>
      <w:lvlText w:val="(%1)"/>
      <w:lvlJc w:val="left"/>
      <w:pPr>
        <w:ind w:left="720" w:hanging="360"/>
      </w:pPr>
      <w:rPr>
        <w:rFonts w:ascii="Times New Roman" w:hAnsi="Times New Roman" w:cs="Times New Roman"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E173F"/>
    <w:multiLevelType w:val="hybridMultilevel"/>
    <w:tmpl w:val="0B0AE5F4"/>
    <w:lvl w:ilvl="0" w:tplc="354053E6">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15:restartNumberingAfterBreak="0">
    <w:nsid w:val="061F7926"/>
    <w:multiLevelType w:val="hybridMultilevel"/>
    <w:tmpl w:val="07EA1D20"/>
    <w:lvl w:ilvl="0" w:tplc="95E26768">
      <w:numFmt w:val="bullet"/>
      <w:lvlText w:val="-"/>
      <w:lvlJc w:val="left"/>
      <w:pPr>
        <w:ind w:left="1353" w:hanging="360"/>
      </w:pPr>
      <w:rPr>
        <w:rFonts w:ascii="Times New Roman" w:eastAsiaTheme="minorHAnsi" w:hAnsi="Times New Roman"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7893823"/>
    <w:multiLevelType w:val="hybridMultilevel"/>
    <w:tmpl w:val="E4147A1C"/>
    <w:lvl w:ilvl="0" w:tplc="FC1094CE">
      <w:start w:val="1"/>
      <w:numFmt w:val="lowerLetter"/>
      <w:lvlText w:val="(%1)"/>
      <w:lvlJc w:val="left"/>
      <w:pPr>
        <w:ind w:left="720" w:hanging="360"/>
      </w:pPr>
      <w:rPr>
        <w:rFonts w:ascii="Times New Roman" w:hAnsi="Times New Roman" w:cs="Times New Roman"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1D3A64"/>
    <w:multiLevelType w:val="hybridMultilevel"/>
    <w:tmpl w:val="9C584600"/>
    <w:lvl w:ilvl="0" w:tplc="BCBC04C6">
      <w:numFmt w:val="bullet"/>
      <w:lvlText w:val="-"/>
      <w:lvlJc w:val="left"/>
      <w:pPr>
        <w:ind w:left="1353" w:hanging="360"/>
      </w:pPr>
      <w:rPr>
        <w:rFonts w:ascii="Times New Roman" w:eastAsia="Times New Roman" w:hAnsi="Times New Roman"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0F711CBC"/>
    <w:multiLevelType w:val="hybridMultilevel"/>
    <w:tmpl w:val="3D880146"/>
    <w:lvl w:ilvl="0" w:tplc="B5A62FB2">
      <w:start w:val="1"/>
      <w:numFmt w:val="bullet"/>
      <w:pStyle w:val="ContinuousSquareBullet"/>
      <w:lvlText w:val="•"/>
      <w:lvlJc w:val="left"/>
      <w:pPr>
        <w:tabs>
          <w:tab w:val="num" w:pos="720"/>
        </w:tabs>
        <w:ind w:left="720" w:hanging="360"/>
      </w:pPr>
      <w:rPr>
        <w:rFonts w:ascii="Times New Roman" w:hAnsi="Times New Roman" w:hint="default"/>
      </w:rPr>
    </w:lvl>
    <w:lvl w:ilvl="1" w:tplc="22964E38">
      <w:start w:val="139"/>
      <w:numFmt w:val="bullet"/>
      <w:lvlText w:val=""/>
      <w:lvlJc w:val="left"/>
      <w:pPr>
        <w:tabs>
          <w:tab w:val="num" w:pos="1440"/>
        </w:tabs>
        <w:ind w:left="1440" w:hanging="360"/>
      </w:pPr>
      <w:rPr>
        <w:rFonts w:ascii="Wingdings" w:hAnsi="Wingdings" w:hint="default"/>
      </w:rPr>
    </w:lvl>
    <w:lvl w:ilvl="2" w:tplc="118C69AE" w:tentative="1">
      <w:start w:val="1"/>
      <w:numFmt w:val="bullet"/>
      <w:lvlText w:val="•"/>
      <w:lvlJc w:val="left"/>
      <w:pPr>
        <w:tabs>
          <w:tab w:val="num" w:pos="2160"/>
        </w:tabs>
        <w:ind w:left="2160" w:hanging="360"/>
      </w:pPr>
      <w:rPr>
        <w:rFonts w:ascii="Times New Roman" w:hAnsi="Times New Roman" w:hint="default"/>
      </w:rPr>
    </w:lvl>
    <w:lvl w:ilvl="3" w:tplc="8F74E17C" w:tentative="1">
      <w:start w:val="1"/>
      <w:numFmt w:val="bullet"/>
      <w:lvlText w:val="•"/>
      <w:lvlJc w:val="left"/>
      <w:pPr>
        <w:tabs>
          <w:tab w:val="num" w:pos="2880"/>
        </w:tabs>
        <w:ind w:left="2880" w:hanging="360"/>
      </w:pPr>
      <w:rPr>
        <w:rFonts w:ascii="Times New Roman" w:hAnsi="Times New Roman" w:hint="default"/>
      </w:rPr>
    </w:lvl>
    <w:lvl w:ilvl="4" w:tplc="180A7674" w:tentative="1">
      <w:start w:val="1"/>
      <w:numFmt w:val="bullet"/>
      <w:lvlText w:val="•"/>
      <w:lvlJc w:val="left"/>
      <w:pPr>
        <w:tabs>
          <w:tab w:val="num" w:pos="3600"/>
        </w:tabs>
        <w:ind w:left="3600" w:hanging="360"/>
      </w:pPr>
      <w:rPr>
        <w:rFonts w:ascii="Times New Roman" w:hAnsi="Times New Roman" w:hint="default"/>
      </w:rPr>
    </w:lvl>
    <w:lvl w:ilvl="5" w:tplc="A8EA8994" w:tentative="1">
      <w:start w:val="1"/>
      <w:numFmt w:val="bullet"/>
      <w:lvlText w:val="•"/>
      <w:lvlJc w:val="left"/>
      <w:pPr>
        <w:tabs>
          <w:tab w:val="num" w:pos="4320"/>
        </w:tabs>
        <w:ind w:left="4320" w:hanging="360"/>
      </w:pPr>
      <w:rPr>
        <w:rFonts w:ascii="Times New Roman" w:hAnsi="Times New Roman" w:hint="default"/>
      </w:rPr>
    </w:lvl>
    <w:lvl w:ilvl="6" w:tplc="5832CEB8" w:tentative="1">
      <w:start w:val="1"/>
      <w:numFmt w:val="bullet"/>
      <w:lvlText w:val="•"/>
      <w:lvlJc w:val="left"/>
      <w:pPr>
        <w:tabs>
          <w:tab w:val="num" w:pos="5040"/>
        </w:tabs>
        <w:ind w:left="5040" w:hanging="360"/>
      </w:pPr>
      <w:rPr>
        <w:rFonts w:ascii="Times New Roman" w:hAnsi="Times New Roman" w:hint="default"/>
      </w:rPr>
    </w:lvl>
    <w:lvl w:ilvl="7" w:tplc="1C3C6BCA" w:tentative="1">
      <w:start w:val="1"/>
      <w:numFmt w:val="bullet"/>
      <w:lvlText w:val="•"/>
      <w:lvlJc w:val="left"/>
      <w:pPr>
        <w:tabs>
          <w:tab w:val="num" w:pos="5760"/>
        </w:tabs>
        <w:ind w:left="5760" w:hanging="360"/>
      </w:pPr>
      <w:rPr>
        <w:rFonts w:ascii="Times New Roman" w:hAnsi="Times New Roman" w:hint="default"/>
      </w:rPr>
    </w:lvl>
    <w:lvl w:ilvl="8" w:tplc="B5448FD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37F1E1B"/>
    <w:multiLevelType w:val="hybridMultilevel"/>
    <w:tmpl w:val="481477D2"/>
    <w:lvl w:ilvl="0" w:tplc="95E26768">
      <w:numFmt w:val="bullet"/>
      <w:lvlText w:val="-"/>
      <w:lvlJc w:val="left"/>
      <w:pPr>
        <w:ind w:left="1713" w:hanging="360"/>
      </w:pPr>
      <w:rPr>
        <w:rFonts w:ascii="Times New Roman" w:eastAsiaTheme="minorHAnsi" w:hAnsi="Times New Roman"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13D57464"/>
    <w:multiLevelType w:val="hybridMultilevel"/>
    <w:tmpl w:val="0B0AE5F4"/>
    <w:lvl w:ilvl="0" w:tplc="354053E6">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15394E19"/>
    <w:multiLevelType w:val="hybridMultilevel"/>
    <w:tmpl w:val="AAE0C60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15F62F18"/>
    <w:multiLevelType w:val="multilevel"/>
    <w:tmpl w:val="7D989632"/>
    <w:lvl w:ilvl="0">
      <w:start w:val="1"/>
      <w:numFmt w:val="decimal"/>
      <w:lvlText w:val="%1."/>
      <w:lvlJc w:val="left"/>
      <w:pPr>
        <w:ind w:left="0" w:firstLine="0"/>
      </w:pPr>
      <w:rPr>
        <w:rFonts w:hint="default"/>
        <w:sz w:val="28"/>
        <w:szCs w:val="24"/>
      </w:rPr>
    </w:lvl>
    <w:lvl w:ilvl="1">
      <w:start w:val="1"/>
      <w:numFmt w:val="decimal"/>
      <w:lvlText w:val="%1.%2."/>
      <w:lvlJc w:val="left"/>
      <w:pPr>
        <w:ind w:left="737" w:hanging="737"/>
      </w:pPr>
      <w:rPr>
        <w:rFonts w:hint="default"/>
        <w:b/>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710"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1" w15:restartNumberingAfterBreak="0">
    <w:nsid w:val="1AAF58E6"/>
    <w:multiLevelType w:val="hybridMultilevel"/>
    <w:tmpl w:val="75CED1D2"/>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180EB8"/>
    <w:multiLevelType w:val="singleLevel"/>
    <w:tmpl w:val="42EA90DA"/>
    <w:lvl w:ilvl="0">
      <w:start w:val="1"/>
      <w:numFmt w:val="decimal"/>
      <w:lvlRestart w:val="0"/>
      <w:pStyle w:val="ConsultationItalic"/>
      <w:lvlText w:val="(%1)"/>
      <w:lvlJc w:val="left"/>
      <w:pPr>
        <w:tabs>
          <w:tab w:val="num" w:pos="709"/>
        </w:tabs>
        <w:ind w:left="709" w:hanging="709"/>
      </w:pPr>
    </w:lvl>
  </w:abstractNum>
  <w:abstractNum w:abstractNumId="13" w15:restartNumberingAfterBreak="0">
    <w:nsid w:val="2273471E"/>
    <w:multiLevelType w:val="hybridMultilevel"/>
    <w:tmpl w:val="0E60FED2"/>
    <w:lvl w:ilvl="0" w:tplc="AA24D8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BF0B79"/>
    <w:multiLevelType w:val="hybridMultilevel"/>
    <w:tmpl w:val="4FBC6590"/>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EB387F"/>
    <w:multiLevelType w:val="hybridMultilevel"/>
    <w:tmpl w:val="48C2C9F2"/>
    <w:lvl w:ilvl="0" w:tplc="F3780D36">
      <w:start w:val="1"/>
      <w:numFmt w:val="bullet"/>
      <w:pStyle w:val="Bulletpoints3"/>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276F6"/>
    <w:multiLevelType w:val="hybridMultilevel"/>
    <w:tmpl w:val="595A44AC"/>
    <w:lvl w:ilvl="0" w:tplc="CF2EAB54">
      <w:start w:val="1"/>
      <w:numFmt w:val="lowerLetter"/>
      <w:lvlText w:val="(%1)"/>
      <w:lvlJc w:val="left"/>
      <w:pPr>
        <w:ind w:left="720" w:hanging="360"/>
      </w:pPr>
      <w:rPr>
        <w:rFonts w:ascii="Times New Roman" w:hAnsi="Times New Roman" w:cs="Times New Roman"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0C73BB"/>
    <w:multiLevelType w:val="hybridMultilevel"/>
    <w:tmpl w:val="BAA02E76"/>
    <w:lvl w:ilvl="0" w:tplc="A404ADF2">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0" w15:restartNumberingAfterBreak="0">
    <w:nsid w:val="38FA7B85"/>
    <w:multiLevelType w:val="hybridMultilevel"/>
    <w:tmpl w:val="079C3FDE"/>
    <w:lvl w:ilvl="0" w:tplc="CFC65D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B86C44"/>
    <w:multiLevelType w:val="hybridMultilevel"/>
    <w:tmpl w:val="57E41AE8"/>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22" w15:restartNumberingAfterBreak="0">
    <w:nsid w:val="3FD10399"/>
    <w:multiLevelType w:val="multilevel"/>
    <w:tmpl w:val="7D989632"/>
    <w:lvl w:ilvl="0">
      <w:start w:val="1"/>
      <w:numFmt w:val="decimal"/>
      <w:lvlText w:val="%1."/>
      <w:lvlJc w:val="left"/>
      <w:pPr>
        <w:ind w:left="0" w:firstLine="0"/>
      </w:pPr>
      <w:rPr>
        <w:rFonts w:hint="default"/>
        <w:sz w:val="28"/>
        <w:szCs w:val="24"/>
      </w:rPr>
    </w:lvl>
    <w:lvl w:ilvl="1">
      <w:start w:val="1"/>
      <w:numFmt w:val="decimal"/>
      <w:lvlText w:val="%1.%2."/>
      <w:lvlJc w:val="left"/>
      <w:pPr>
        <w:ind w:left="737" w:hanging="737"/>
      </w:pPr>
      <w:rPr>
        <w:rFonts w:hint="default"/>
        <w:b/>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710"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23" w15:restartNumberingAfterBreak="0">
    <w:nsid w:val="3FF43EE7"/>
    <w:multiLevelType w:val="hybridMultilevel"/>
    <w:tmpl w:val="E0B2B84A"/>
    <w:lvl w:ilvl="0" w:tplc="7E26DAB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BC532E"/>
    <w:multiLevelType w:val="hybridMultilevel"/>
    <w:tmpl w:val="595A44AC"/>
    <w:lvl w:ilvl="0" w:tplc="CF2EAB54">
      <w:start w:val="1"/>
      <w:numFmt w:val="lowerLetter"/>
      <w:lvlText w:val="(%1)"/>
      <w:lvlJc w:val="left"/>
      <w:pPr>
        <w:ind w:left="720" w:hanging="360"/>
      </w:pPr>
      <w:rPr>
        <w:rFonts w:ascii="Times New Roman" w:hAnsi="Times New Roman" w:cs="Times New Roman"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2B6F0D"/>
    <w:multiLevelType w:val="multilevel"/>
    <w:tmpl w:val="7D989632"/>
    <w:lvl w:ilvl="0">
      <w:start w:val="1"/>
      <w:numFmt w:val="decimal"/>
      <w:lvlText w:val="%1."/>
      <w:lvlJc w:val="left"/>
      <w:pPr>
        <w:ind w:left="0" w:firstLine="0"/>
      </w:pPr>
      <w:rPr>
        <w:rFonts w:hint="default"/>
        <w:sz w:val="28"/>
        <w:szCs w:val="24"/>
      </w:rPr>
    </w:lvl>
    <w:lvl w:ilvl="1">
      <w:start w:val="1"/>
      <w:numFmt w:val="decimal"/>
      <w:lvlText w:val="%1.%2."/>
      <w:lvlJc w:val="left"/>
      <w:pPr>
        <w:ind w:left="737" w:hanging="737"/>
      </w:pPr>
      <w:rPr>
        <w:rFonts w:hint="default"/>
        <w:b/>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710"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26" w15:restartNumberingAfterBreak="0">
    <w:nsid w:val="4A183E30"/>
    <w:multiLevelType w:val="hybridMultilevel"/>
    <w:tmpl w:val="53BE19E8"/>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9F7ACF"/>
    <w:multiLevelType w:val="multilevel"/>
    <w:tmpl w:val="086A43F6"/>
    <w:styleLink w:val="Style12"/>
    <w:lvl w:ilvl="0">
      <w:start w:val="1"/>
      <w:numFmt w:val="lowerLetter"/>
      <w:lvlText w:val="%1)"/>
      <w:lvlJc w:val="left"/>
      <w:pPr>
        <w:ind w:left="0" w:firstLine="0"/>
      </w:pPr>
      <w:rPr>
        <w:rFonts w:ascii="Verdana" w:hAnsi="Verdana" w:hint="default"/>
        <w:b w:val="0"/>
        <w:i w:val="0"/>
        <w:caps w:val="0"/>
        <w:strike w:val="0"/>
        <w:dstrike w:val="0"/>
        <w:vanish w:val="0"/>
        <w:color w:val="auto"/>
        <w:sz w:val="22"/>
        <w:szCs w:val="24"/>
        <w:vertAlign w:val="baseline"/>
      </w:rPr>
    </w:lvl>
    <w:lvl w:ilvl="1">
      <w:start w:val="1"/>
      <w:numFmt w:val="decimal"/>
      <w:lvlText w:val="%1.%2."/>
      <w:lvlJc w:val="left"/>
      <w:pPr>
        <w:ind w:left="737" w:hanging="73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28" w15:restartNumberingAfterBreak="0">
    <w:nsid w:val="4C786A7A"/>
    <w:multiLevelType w:val="hybridMultilevel"/>
    <w:tmpl w:val="205CBF04"/>
    <w:lvl w:ilvl="0" w:tplc="5EBE216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4DC132EF"/>
    <w:multiLevelType w:val="multilevel"/>
    <w:tmpl w:val="7D989632"/>
    <w:lvl w:ilvl="0">
      <w:start w:val="1"/>
      <w:numFmt w:val="decimal"/>
      <w:lvlText w:val="%1."/>
      <w:lvlJc w:val="left"/>
      <w:pPr>
        <w:ind w:left="0" w:firstLine="0"/>
      </w:pPr>
      <w:rPr>
        <w:rFonts w:hint="default"/>
        <w:sz w:val="28"/>
        <w:szCs w:val="24"/>
      </w:rPr>
    </w:lvl>
    <w:lvl w:ilvl="1">
      <w:start w:val="1"/>
      <w:numFmt w:val="decimal"/>
      <w:lvlText w:val="%1.%2."/>
      <w:lvlJc w:val="left"/>
      <w:pPr>
        <w:ind w:left="737" w:hanging="737"/>
      </w:pPr>
      <w:rPr>
        <w:rFonts w:hint="default"/>
        <w:b/>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710"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30" w15:restartNumberingAfterBreak="0">
    <w:nsid w:val="4EAD7ACB"/>
    <w:multiLevelType w:val="hybridMultilevel"/>
    <w:tmpl w:val="609011E4"/>
    <w:lvl w:ilvl="0" w:tplc="922C370C">
      <w:start w:val="1"/>
      <w:numFmt w:val="lowerLetter"/>
      <w:lvlText w:val="(%1)"/>
      <w:lvlJc w:val="left"/>
      <w:pPr>
        <w:ind w:left="720" w:hanging="360"/>
      </w:pPr>
      <w:rPr>
        <w:rFonts w:ascii="Verdana" w:hAnsi="Verdana"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882A69"/>
    <w:multiLevelType w:val="hybridMultilevel"/>
    <w:tmpl w:val="78700728"/>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2" w15:restartNumberingAfterBreak="0">
    <w:nsid w:val="5C8C3BDB"/>
    <w:multiLevelType w:val="multilevel"/>
    <w:tmpl w:val="92E6FCC4"/>
    <w:lvl w:ilvl="0">
      <w:start w:val="1"/>
      <w:numFmt w:val="decimal"/>
      <w:pStyle w:val="AlineasCEIOPS"/>
      <w:lvlText w:val="%1."/>
      <w:lvlJc w:val="left"/>
      <w:pPr>
        <w:tabs>
          <w:tab w:val="num" w:pos="567"/>
        </w:tabs>
        <w:ind w:left="357" w:hanging="357"/>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D683777"/>
    <w:multiLevelType w:val="hybridMultilevel"/>
    <w:tmpl w:val="07802026"/>
    <w:lvl w:ilvl="0" w:tplc="0407000F">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34" w15:restartNumberingAfterBreak="0">
    <w:nsid w:val="61152A6B"/>
    <w:multiLevelType w:val="hybridMultilevel"/>
    <w:tmpl w:val="C1BE35B2"/>
    <w:lvl w:ilvl="0" w:tplc="6D24647E">
      <w:numFmt w:val="bullet"/>
      <w:lvlText w:val="-"/>
      <w:lvlJc w:val="left"/>
      <w:pPr>
        <w:ind w:left="1353" w:hanging="360"/>
      </w:pPr>
      <w:rPr>
        <w:rFonts w:ascii="Times New Roman" w:eastAsia="Times New Roman" w:hAnsi="Times New Roman"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5" w15:restartNumberingAfterBreak="0">
    <w:nsid w:val="69320114"/>
    <w:multiLevelType w:val="hybridMultilevel"/>
    <w:tmpl w:val="742C1992"/>
    <w:lvl w:ilvl="0" w:tplc="5A2E1F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995580"/>
    <w:multiLevelType w:val="singleLevel"/>
    <w:tmpl w:val="04C8E0E4"/>
    <w:name w:val="Bullet 0"/>
    <w:lvl w:ilvl="0">
      <w:start w:val="52"/>
      <w:numFmt w:val="decimal"/>
      <w:lvlRestart w:val="0"/>
      <w:pStyle w:val="Considrant"/>
      <w:lvlText w:val="(%1)"/>
      <w:lvlJc w:val="left"/>
      <w:pPr>
        <w:tabs>
          <w:tab w:val="num" w:pos="709"/>
        </w:tabs>
        <w:ind w:left="709" w:hanging="709"/>
      </w:pPr>
      <w:rPr>
        <w:rFonts w:hint="default"/>
      </w:rPr>
    </w:lvl>
  </w:abstractNum>
  <w:abstractNum w:abstractNumId="37" w15:restartNumberingAfterBreak="0">
    <w:nsid w:val="6C804BA3"/>
    <w:multiLevelType w:val="hybridMultilevel"/>
    <w:tmpl w:val="F0D85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16F0927"/>
    <w:multiLevelType w:val="hybridMultilevel"/>
    <w:tmpl w:val="BED6AE00"/>
    <w:lvl w:ilvl="0" w:tplc="04090017">
      <w:start w:val="1"/>
      <w:numFmt w:val="lowerLetter"/>
      <w:pStyle w:val="NumPar1"/>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BD2970"/>
    <w:multiLevelType w:val="hybridMultilevel"/>
    <w:tmpl w:val="BEEE2888"/>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15:restartNumberingAfterBreak="0">
    <w:nsid w:val="724D4D63"/>
    <w:multiLevelType w:val="hybridMultilevel"/>
    <w:tmpl w:val="2390AB60"/>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981088"/>
    <w:multiLevelType w:val="multilevel"/>
    <w:tmpl w:val="D3200074"/>
    <w:name w:val="Considérant__1222222"/>
    <w:styleLink w:val="Style1"/>
    <w:lvl w:ilvl="0">
      <w:start w:val="1"/>
      <w:numFmt w:val="decimal"/>
      <w:lvlText w:val="%1."/>
      <w:lvlJc w:val="left"/>
      <w:pPr>
        <w:ind w:left="0" w:firstLine="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42" w15:restartNumberingAfterBreak="0">
    <w:nsid w:val="74A3509A"/>
    <w:multiLevelType w:val="hybridMultilevel"/>
    <w:tmpl w:val="FCD66928"/>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CD6933"/>
    <w:multiLevelType w:val="hybridMultilevel"/>
    <w:tmpl w:val="FCD66928"/>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E20444"/>
    <w:multiLevelType w:val="hybridMultilevel"/>
    <w:tmpl w:val="B1C0B52C"/>
    <w:lvl w:ilvl="0" w:tplc="95E26768">
      <w:numFmt w:val="bullet"/>
      <w:lvlText w:val="-"/>
      <w:lvlJc w:val="left"/>
      <w:pPr>
        <w:ind w:left="1353" w:hanging="360"/>
      </w:pPr>
      <w:rPr>
        <w:rFonts w:ascii="Times New Roman" w:eastAsiaTheme="minorHAnsi"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5" w15:restartNumberingAfterBreak="0">
    <w:nsid w:val="7EFE1CDA"/>
    <w:multiLevelType w:val="hybridMultilevel"/>
    <w:tmpl w:val="75CED1D2"/>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41"/>
  </w:num>
  <w:num w:numId="3">
    <w:abstractNumId w:val="0"/>
  </w:num>
  <w:num w:numId="4">
    <w:abstractNumId w:val="16"/>
  </w:num>
  <w:num w:numId="5">
    <w:abstractNumId w:val="10"/>
  </w:num>
  <w:num w:numId="6">
    <w:abstractNumId w:val="32"/>
  </w:num>
  <w:num w:numId="7">
    <w:abstractNumId w:val="6"/>
  </w:num>
  <w:num w:numId="8">
    <w:abstractNumId w:val="36"/>
  </w:num>
  <w:num w:numId="9">
    <w:abstractNumId w:val="27"/>
  </w:num>
  <w:num w:numId="10">
    <w:abstractNumId w:val="12"/>
  </w:num>
  <w:num w:numId="11">
    <w:abstractNumId w:val="17"/>
  </w:num>
  <w:num w:numId="12">
    <w:abstractNumId w:val="4"/>
  </w:num>
  <w:num w:numId="13">
    <w:abstractNumId w:val="26"/>
  </w:num>
  <w:num w:numId="14">
    <w:abstractNumId w:val="11"/>
  </w:num>
  <w:num w:numId="15">
    <w:abstractNumId w:val="39"/>
  </w:num>
  <w:num w:numId="16">
    <w:abstractNumId w:val="22"/>
  </w:num>
  <w:num w:numId="17">
    <w:abstractNumId w:val="35"/>
  </w:num>
  <w:num w:numId="18">
    <w:abstractNumId w:val="37"/>
  </w:num>
  <w:num w:numId="19">
    <w:abstractNumId w:val="2"/>
  </w:num>
  <w:num w:numId="20">
    <w:abstractNumId w:val="43"/>
  </w:num>
  <w:num w:numId="21">
    <w:abstractNumId w:val="40"/>
  </w:num>
  <w:num w:numId="22">
    <w:abstractNumId w:val="5"/>
  </w:num>
  <w:num w:numId="23">
    <w:abstractNumId w:val="19"/>
  </w:num>
  <w:num w:numId="24">
    <w:abstractNumId w:val="25"/>
  </w:num>
  <w:num w:numId="25">
    <w:abstractNumId w:val="15"/>
  </w:num>
  <w:num w:numId="26">
    <w:abstractNumId w:val="28"/>
  </w:num>
  <w:num w:numId="27">
    <w:abstractNumId w:val="8"/>
  </w:num>
  <w:num w:numId="28">
    <w:abstractNumId w:val="13"/>
  </w:num>
  <w:num w:numId="29">
    <w:abstractNumId w:val="24"/>
  </w:num>
  <w:num w:numId="30">
    <w:abstractNumId w:val="29"/>
  </w:num>
  <w:num w:numId="31">
    <w:abstractNumId w:val="21"/>
  </w:num>
  <w:num w:numId="32">
    <w:abstractNumId w:val="33"/>
  </w:num>
  <w:num w:numId="33">
    <w:abstractNumId w:val="9"/>
  </w:num>
  <w:num w:numId="34">
    <w:abstractNumId w:val="30"/>
  </w:num>
  <w:num w:numId="35">
    <w:abstractNumId w:val="20"/>
  </w:num>
  <w:num w:numId="36">
    <w:abstractNumId w:val="42"/>
  </w:num>
  <w:num w:numId="37">
    <w:abstractNumId w:val="34"/>
  </w:num>
  <w:num w:numId="38">
    <w:abstractNumId w:val="7"/>
  </w:num>
  <w:num w:numId="39">
    <w:abstractNumId w:val="3"/>
  </w:num>
  <w:num w:numId="40">
    <w:abstractNumId w:val="44"/>
  </w:num>
  <w:num w:numId="41">
    <w:abstractNumId w:val="31"/>
  </w:num>
  <w:num w:numId="42">
    <w:abstractNumId w:val="45"/>
  </w:num>
  <w:num w:numId="43">
    <w:abstractNumId w:val="1"/>
  </w:num>
  <w:num w:numId="44">
    <w:abstractNumId w:val="18"/>
  </w:num>
  <w:num w:numId="4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GB" w:vendorID="64" w:dllVersion="131078" w:nlCheck="1" w:checkStyle="0"/>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activeWritingStyle w:appName="MSWord" w:lang="en-IE" w:vendorID="64" w:dllVersion="131078" w:nlCheck="1" w:checkStyle="1"/>
  <w:activeWritingStyle w:appName="MSWord" w:lang="fr-BE" w:vendorID="64" w:dllVersion="131078" w:nlCheck="1" w:checkStyle="1"/>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27d06497-80ef-45ed-85df-2bd296e79a82"/>
    <w:docVar w:name="COVERPAGE_EXISTS" w:val="True"/>
    <w:docVar w:name="DocStatus" w:val="Red"/>
    <w:docVar w:name="LW_ACCOMPAGNANT.CP" w:val="to the "/>
    <w:docVar w:name="LW_ANNEX_NBR_FIRST" w:val="1"/>
    <w:docVar w:name="LW_ANNEX_NBR_LAST" w:val="5"/>
    <w:docVar w:name="LW_CONFIDENCE" w:val=" "/>
    <w:docVar w:name="LW_CONST_RESTREINT_UE" w:val="RESTREINT UE/EU RESTRICTED"/>
    <w:docVar w:name="LW_CORRIGENDUM" w:val="&lt;UNUSED&gt;"/>
    <w:docVar w:name="LW_COVERPAGE_GUID" w:val="0B9B353DC45648069E044CFE2E7E6E30"/>
    <w:docVar w:name="LW_CROSSREFERENCE" w:val="&lt;UNUSED&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38"/>
    <w:docVar w:name="LW_LANGUE" w:val="EN"/>
    <w:docVar w:name="LW_MARKING" w:val="&lt;UNUSED&gt;"/>
    <w:docVar w:name="LW_NOM.INST" w:val="EUROPEAN COMMISSION"/>
    <w:docVar w:name="LW_NOM.INST_JOINTDOC" w:val="&lt;EMPTY&gt;"/>
    <w:docVar w:name="LW_OBJETACTEPRINCIPAL.CP" w:val="amending and correcting Commission Implementing Regulation (EU) 2015/2450  laying down implementing technical standards with regard to the templates for the submission of information to the supervisory authorities according to Directive 2009/138/EC of the European Parliament and of the Council"/>
    <w:docVar w:name="LW_PART_NBR" w:val="&lt;UNUSED&gt;"/>
    <w:docVar w:name="LW_PART_NBR_TOTAL" w:val="&lt;UNUSED&gt;"/>
    <w:docVar w:name="LW_REF.INST.NEW" w:val="&lt;EMPTY&gt;"/>
    <w:docVar w:name="LW_REF.INST.NEW_ADOPTED" w:val="draft"/>
    <w:docVar w:name="LW_REF.INST.NEW_TEXT" w:val="(2016) XXX"/>
    <w:docVar w:name="LW_REF.INTERNE" w:val="&lt;UNUSED&gt;"/>
    <w:docVar w:name="LW_SUPERTITRE" w:val="&lt;UNUSED&gt;"/>
    <w:docVar w:name="LW_TITRE.OBJ.CP" w:val="&lt;UNUSED&gt;"/>
    <w:docVar w:name="LW_TYPE.DOC.CP" w:val="ANNEXES_x000b_"/>
    <w:docVar w:name="LW_TYPEACTEPRINCIPAL.CP" w:val="Commission Implementing Regulation (EU) .../..."/>
  </w:docVars>
  <w:rsids>
    <w:rsidRoot w:val="00177D4F"/>
    <w:rsid w:val="000031DB"/>
    <w:rsid w:val="00005C5F"/>
    <w:rsid w:val="00006515"/>
    <w:rsid w:val="00007D38"/>
    <w:rsid w:val="000102ED"/>
    <w:rsid w:val="00010858"/>
    <w:rsid w:val="0001190E"/>
    <w:rsid w:val="0001210B"/>
    <w:rsid w:val="00012429"/>
    <w:rsid w:val="00012FCA"/>
    <w:rsid w:val="0001510C"/>
    <w:rsid w:val="00016327"/>
    <w:rsid w:val="00016959"/>
    <w:rsid w:val="00020237"/>
    <w:rsid w:val="0002039E"/>
    <w:rsid w:val="00020A5D"/>
    <w:rsid w:val="00022D87"/>
    <w:rsid w:val="00024A6A"/>
    <w:rsid w:val="00027004"/>
    <w:rsid w:val="000276A0"/>
    <w:rsid w:val="00031E54"/>
    <w:rsid w:val="00031FED"/>
    <w:rsid w:val="000320E4"/>
    <w:rsid w:val="00032681"/>
    <w:rsid w:val="00035834"/>
    <w:rsid w:val="000367F1"/>
    <w:rsid w:val="00036EA0"/>
    <w:rsid w:val="0003733C"/>
    <w:rsid w:val="00037384"/>
    <w:rsid w:val="00037683"/>
    <w:rsid w:val="00037C6F"/>
    <w:rsid w:val="00037FF8"/>
    <w:rsid w:val="00042A3F"/>
    <w:rsid w:val="00045C47"/>
    <w:rsid w:val="0004651F"/>
    <w:rsid w:val="0004656B"/>
    <w:rsid w:val="000473EA"/>
    <w:rsid w:val="00051B72"/>
    <w:rsid w:val="0005229A"/>
    <w:rsid w:val="00052DB7"/>
    <w:rsid w:val="00053358"/>
    <w:rsid w:val="000536E4"/>
    <w:rsid w:val="00053D07"/>
    <w:rsid w:val="0005541F"/>
    <w:rsid w:val="00056201"/>
    <w:rsid w:val="00056A6A"/>
    <w:rsid w:val="00057360"/>
    <w:rsid w:val="00060CE5"/>
    <w:rsid w:val="00061E21"/>
    <w:rsid w:val="000626BB"/>
    <w:rsid w:val="00062BFC"/>
    <w:rsid w:val="00062DF1"/>
    <w:rsid w:val="00063572"/>
    <w:rsid w:val="00063830"/>
    <w:rsid w:val="00064765"/>
    <w:rsid w:val="0006512D"/>
    <w:rsid w:val="00066CEF"/>
    <w:rsid w:val="0006791B"/>
    <w:rsid w:val="0007027D"/>
    <w:rsid w:val="000711F5"/>
    <w:rsid w:val="000720E5"/>
    <w:rsid w:val="0007217E"/>
    <w:rsid w:val="00072C2E"/>
    <w:rsid w:val="00073BB7"/>
    <w:rsid w:val="000748B6"/>
    <w:rsid w:val="000749EC"/>
    <w:rsid w:val="00075604"/>
    <w:rsid w:val="00081D3E"/>
    <w:rsid w:val="000824AA"/>
    <w:rsid w:val="00086ED7"/>
    <w:rsid w:val="000902FB"/>
    <w:rsid w:val="00090B64"/>
    <w:rsid w:val="00092E9B"/>
    <w:rsid w:val="0009505E"/>
    <w:rsid w:val="000A0626"/>
    <w:rsid w:val="000A0D09"/>
    <w:rsid w:val="000A177A"/>
    <w:rsid w:val="000A274E"/>
    <w:rsid w:val="000A2BF4"/>
    <w:rsid w:val="000A2C66"/>
    <w:rsid w:val="000A384F"/>
    <w:rsid w:val="000A448A"/>
    <w:rsid w:val="000A4DE6"/>
    <w:rsid w:val="000A4E30"/>
    <w:rsid w:val="000A6583"/>
    <w:rsid w:val="000A6BC6"/>
    <w:rsid w:val="000B0B58"/>
    <w:rsid w:val="000B1EAC"/>
    <w:rsid w:val="000B25C9"/>
    <w:rsid w:val="000B2FCC"/>
    <w:rsid w:val="000B46DD"/>
    <w:rsid w:val="000B7D82"/>
    <w:rsid w:val="000C02BD"/>
    <w:rsid w:val="000C1854"/>
    <w:rsid w:val="000C18FA"/>
    <w:rsid w:val="000C433E"/>
    <w:rsid w:val="000C4563"/>
    <w:rsid w:val="000C49A8"/>
    <w:rsid w:val="000C5384"/>
    <w:rsid w:val="000C5387"/>
    <w:rsid w:val="000C5541"/>
    <w:rsid w:val="000C567A"/>
    <w:rsid w:val="000C5BEF"/>
    <w:rsid w:val="000C72E3"/>
    <w:rsid w:val="000D1CCB"/>
    <w:rsid w:val="000D2971"/>
    <w:rsid w:val="000D2D43"/>
    <w:rsid w:val="000D2F42"/>
    <w:rsid w:val="000D3220"/>
    <w:rsid w:val="000D3CFF"/>
    <w:rsid w:val="000D3DC5"/>
    <w:rsid w:val="000D4101"/>
    <w:rsid w:val="000E1E22"/>
    <w:rsid w:val="000E2D11"/>
    <w:rsid w:val="000E3EB2"/>
    <w:rsid w:val="000E6E14"/>
    <w:rsid w:val="000E70A8"/>
    <w:rsid w:val="000F0D18"/>
    <w:rsid w:val="000F1B1D"/>
    <w:rsid w:val="000F2822"/>
    <w:rsid w:val="000F3115"/>
    <w:rsid w:val="000F5A94"/>
    <w:rsid w:val="000F5C8D"/>
    <w:rsid w:val="000F5FEF"/>
    <w:rsid w:val="000F73AF"/>
    <w:rsid w:val="00100948"/>
    <w:rsid w:val="00101F90"/>
    <w:rsid w:val="0010309E"/>
    <w:rsid w:val="0010363B"/>
    <w:rsid w:val="00103826"/>
    <w:rsid w:val="00103839"/>
    <w:rsid w:val="00103C7E"/>
    <w:rsid w:val="00104511"/>
    <w:rsid w:val="0010540B"/>
    <w:rsid w:val="00105C0C"/>
    <w:rsid w:val="001069BC"/>
    <w:rsid w:val="00106E0F"/>
    <w:rsid w:val="0011143D"/>
    <w:rsid w:val="00111920"/>
    <w:rsid w:val="00111F45"/>
    <w:rsid w:val="00113E79"/>
    <w:rsid w:val="00115FD3"/>
    <w:rsid w:val="00116572"/>
    <w:rsid w:val="00120B3B"/>
    <w:rsid w:val="00121994"/>
    <w:rsid w:val="00125C9D"/>
    <w:rsid w:val="00125CA5"/>
    <w:rsid w:val="00127DF7"/>
    <w:rsid w:val="001314DB"/>
    <w:rsid w:val="00131B78"/>
    <w:rsid w:val="001320FD"/>
    <w:rsid w:val="0013347C"/>
    <w:rsid w:val="0013559D"/>
    <w:rsid w:val="00137E3E"/>
    <w:rsid w:val="001401E8"/>
    <w:rsid w:val="001434D5"/>
    <w:rsid w:val="00144032"/>
    <w:rsid w:val="00144608"/>
    <w:rsid w:val="0014562C"/>
    <w:rsid w:val="00153380"/>
    <w:rsid w:val="00156E08"/>
    <w:rsid w:val="00157CA5"/>
    <w:rsid w:val="00161F9B"/>
    <w:rsid w:val="00163083"/>
    <w:rsid w:val="00164089"/>
    <w:rsid w:val="00165694"/>
    <w:rsid w:val="00165CE8"/>
    <w:rsid w:val="00171F16"/>
    <w:rsid w:val="00172416"/>
    <w:rsid w:val="00172B1C"/>
    <w:rsid w:val="00172FE2"/>
    <w:rsid w:val="00174CF8"/>
    <w:rsid w:val="00175792"/>
    <w:rsid w:val="00176B7A"/>
    <w:rsid w:val="00177B98"/>
    <w:rsid w:val="00177D28"/>
    <w:rsid w:val="00177D4F"/>
    <w:rsid w:val="001819BF"/>
    <w:rsid w:val="00181DFD"/>
    <w:rsid w:val="00182A17"/>
    <w:rsid w:val="00183169"/>
    <w:rsid w:val="00184026"/>
    <w:rsid w:val="00184144"/>
    <w:rsid w:val="001841EA"/>
    <w:rsid w:val="0018539F"/>
    <w:rsid w:val="0018646D"/>
    <w:rsid w:val="00187B65"/>
    <w:rsid w:val="00190756"/>
    <w:rsid w:val="00191B33"/>
    <w:rsid w:val="00193D8A"/>
    <w:rsid w:val="001947F9"/>
    <w:rsid w:val="00194969"/>
    <w:rsid w:val="0019525A"/>
    <w:rsid w:val="00196173"/>
    <w:rsid w:val="001969AC"/>
    <w:rsid w:val="001A06C9"/>
    <w:rsid w:val="001A163B"/>
    <w:rsid w:val="001A3B57"/>
    <w:rsid w:val="001A4529"/>
    <w:rsid w:val="001A5E48"/>
    <w:rsid w:val="001A5FFA"/>
    <w:rsid w:val="001A6B67"/>
    <w:rsid w:val="001A6F78"/>
    <w:rsid w:val="001A754A"/>
    <w:rsid w:val="001A7FAE"/>
    <w:rsid w:val="001B4FA7"/>
    <w:rsid w:val="001B4FC5"/>
    <w:rsid w:val="001B5198"/>
    <w:rsid w:val="001B66E6"/>
    <w:rsid w:val="001B68DC"/>
    <w:rsid w:val="001B6A7B"/>
    <w:rsid w:val="001B74CF"/>
    <w:rsid w:val="001C051D"/>
    <w:rsid w:val="001C1007"/>
    <w:rsid w:val="001C1203"/>
    <w:rsid w:val="001C1DBD"/>
    <w:rsid w:val="001C517D"/>
    <w:rsid w:val="001C6184"/>
    <w:rsid w:val="001C77DB"/>
    <w:rsid w:val="001C7A05"/>
    <w:rsid w:val="001D1382"/>
    <w:rsid w:val="001D13F3"/>
    <w:rsid w:val="001D1E57"/>
    <w:rsid w:val="001D1FFE"/>
    <w:rsid w:val="001D5209"/>
    <w:rsid w:val="001D6CEA"/>
    <w:rsid w:val="001D7625"/>
    <w:rsid w:val="001D780E"/>
    <w:rsid w:val="001E0F82"/>
    <w:rsid w:val="001E1EA9"/>
    <w:rsid w:val="001E2124"/>
    <w:rsid w:val="001E26EB"/>
    <w:rsid w:val="001E50E6"/>
    <w:rsid w:val="001E7E16"/>
    <w:rsid w:val="001F0A19"/>
    <w:rsid w:val="001F1832"/>
    <w:rsid w:val="001F1C30"/>
    <w:rsid w:val="001F1EEC"/>
    <w:rsid w:val="001F277B"/>
    <w:rsid w:val="001F2BD0"/>
    <w:rsid w:val="001F39F2"/>
    <w:rsid w:val="001F7102"/>
    <w:rsid w:val="00201679"/>
    <w:rsid w:val="00201A64"/>
    <w:rsid w:val="00201CFE"/>
    <w:rsid w:val="0020641E"/>
    <w:rsid w:val="0021071F"/>
    <w:rsid w:val="00210A8A"/>
    <w:rsid w:val="00212644"/>
    <w:rsid w:val="00212FAC"/>
    <w:rsid w:val="002133D0"/>
    <w:rsid w:val="002213EA"/>
    <w:rsid w:val="00221A34"/>
    <w:rsid w:val="002223DC"/>
    <w:rsid w:val="00222C68"/>
    <w:rsid w:val="002237C1"/>
    <w:rsid w:val="00224E95"/>
    <w:rsid w:val="002252E7"/>
    <w:rsid w:val="00230E3A"/>
    <w:rsid w:val="00235663"/>
    <w:rsid w:val="0023700B"/>
    <w:rsid w:val="0024194F"/>
    <w:rsid w:val="00242834"/>
    <w:rsid w:val="00243FBE"/>
    <w:rsid w:val="002458A5"/>
    <w:rsid w:val="00246DD2"/>
    <w:rsid w:val="00250074"/>
    <w:rsid w:val="00250271"/>
    <w:rsid w:val="002505AA"/>
    <w:rsid w:val="00251C8A"/>
    <w:rsid w:val="00252E73"/>
    <w:rsid w:val="00255AAA"/>
    <w:rsid w:val="002567DB"/>
    <w:rsid w:val="00256BCA"/>
    <w:rsid w:val="002600DC"/>
    <w:rsid w:val="002608F7"/>
    <w:rsid w:val="00260FE7"/>
    <w:rsid w:val="00262518"/>
    <w:rsid w:val="00262E52"/>
    <w:rsid w:val="00262FE2"/>
    <w:rsid w:val="00264DD1"/>
    <w:rsid w:val="002659D7"/>
    <w:rsid w:val="00265B62"/>
    <w:rsid w:val="002663D7"/>
    <w:rsid w:val="0026693C"/>
    <w:rsid w:val="00266D07"/>
    <w:rsid w:val="00266ED1"/>
    <w:rsid w:val="002778E0"/>
    <w:rsid w:val="00277988"/>
    <w:rsid w:val="00281760"/>
    <w:rsid w:val="002823A0"/>
    <w:rsid w:val="0028315B"/>
    <w:rsid w:val="002849FA"/>
    <w:rsid w:val="00285477"/>
    <w:rsid w:val="00285A29"/>
    <w:rsid w:val="00285B0D"/>
    <w:rsid w:val="00287014"/>
    <w:rsid w:val="00291CEA"/>
    <w:rsid w:val="00292038"/>
    <w:rsid w:val="002925BA"/>
    <w:rsid w:val="00292E94"/>
    <w:rsid w:val="002946BA"/>
    <w:rsid w:val="00294CFF"/>
    <w:rsid w:val="002A0458"/>
    <w:rsid w:val="002A276B"/>
    <w:rsid w:val="002A2C45"/>
    <w:rsid w:val="002A5CD4"/>
    <w:rsid w:val="002A62C0"/>
    <w:rsid w:val="002A68CB"/>
    <w:rsid w:val="002B1AD2"/>
    <w:rsid w:val="002B1B31"/>
    <w:rsid w:val="002B1BD3"/>
    <w:rsid w:val="002B1DBD"/>
    <w:rsid w:val="002B3FBE"/>
    <w:rsid w:val="002B4A43"/>
    <w:rsid w:val="002B4EBE"/>
    <w:rsid w:val="002B6C8B"/>
    <w:rsid w:val="002B71FD"/>
    <w:rsid w:val="002B7504"/>
    <w:rsid w:val="002C0040"/>
    <w:rsid w:val="002C011E"/>
    <w:rsid w:val="002C26B1"/>
    <w:rsid w:val="002C55E4"/>
    <w:rsid w:val="002C6681"/>
    <w:rsid w:val="002C6724"/>
    <w:rsid w:val="002D0FA3"/>
    <w:rsid w:val="002D1626"/>
    <w:rsid w:val="002D1B65"/>
    <w:rsid w:val="002D1EDD"/>
    <w:rsid w:val="002D2AD4"/>
    <w:rsid w:val="002D2B0E"/>
    <w:rsid w:val="002D3A10"/>
    <w:rsid w:val="002D4A56"/>
    <w:rsid w:val="002D51FF"/>
    <w:rsid w:val="002D5ED7"/>
    <w:rsid w:val="002D61D8"/>
    <w:rsid w:val="002D774E"/>
    <w:rsid w:val="002E14FE"/>
    <w:rsid w:val="002E2E2F"/>
    <w:rsid w:val="002E35A3"/>
    <w:rsid w:val="002E4810"/>
    <w:rsid w:val="002E5264"/>
    <w:rsid w:val="002E6E19"/>
    <w:rsid w:val="002E6E74"/>
    <w:rsid w:val="002F04A8"/>
    <w:rsid w:val="002F196A"/>
    <w:rsid w:val="002F1DE2"/>
    <w:rsid w:val="002F200E"/>
    <w:rsid w:val="002F336F"/>
    <w:rsid w:val="002F3548"/>
    <w:rsid w:val="002F4005"/>
    <w:rsid w:val="002F62F2"/>
    <w:rsid w:val="00300ADB"/>
    <w:rsid w:val="00303912"/>
    <w:rsid w:val="00303999"/>
    <w:rsid w:val="00304CAD"/>
    <w:rsid w:val="003054CE"/>
    <w:rsid w:val="00306824"/>
    <w:rsid w:val="003100CE"/>
    <w:rsid w:val="0031017D"/>
    <w:rsid w:val="003105F7"/>
    <w:rsid w:val="00310C87"/>
    <w:rsid w:val="0031108A"/>
    <w:rsid w:val="00311425"/>
    <w:rsid w:val="00311831"/>
    <w:rsid w:val="0031524D"/>
    <w:rsid w:val="003154F9"/>
    <w:rsid w:val="0031651F"/>
    <w:rsid w:val="003173FC"/>
    <w:rsid w:val="003176E1"/>
    <w:rsid w:val="00317CDB"/>
    <w:rsid w:val="00320139"/>
    <w:rsid w:val="003209FC"/>
    <w:rsid w:val="00320B91"/>
    <w:rsid w:val="003214B5"/>
    <w:rsid w:val="0032216B"/>
    <w:rsid w:val="003234F2"/>
    <w:rsid w:val="0032511F"/>
    <w:rsid w:val="00326143"/>
    <w:rsid w:val="003263EB"/>
    <w:rsid w:val="00330067"/>
    <w:rsid w:val="00331823"/>
    <w:rsid w:val="00333900"/>
    <w:rsid w:val="00337269"/>
    <w:rsid w:val="00341401"/>
    <w:rsid w:val="00342976"/>
    <w:rsid w:val="00342D03"/>
    <w:rsid w:val="00343839"/>
    <w:rsid w:val="00344798"/>
    <w:rsid w:val="00345081"/>
    <w:rsid w:val="0034782C"/>
    <w:rsid w:val="0035045C"/>
    <w:rsid w:val="003505A6"/>
    <w:rsid w:val="00350AAB"/>
    <w:rsid w:val="00352089"/>
    <w:rsid w:val="003525D8"/>
    <w:rsid w:val="00353E47"/>
    <w:rsid w:val="00354562"/>
    <w:rsid w:val="00355423"/>
    <w:rsid w:val="00355690"/>
    <w:rsid w:val="003577B2"/>
    <w:rsid w:val="003607DA"/>
    <w:rsid w:val="003612DF"/>
    <w:rsid w:val="00361EA9"/>
    <w:rsid w:val="00362287"/>
    <w:rsid w:val="00362776"/>
    <w:rsid w:val="00362C90"/>
    <w:rsid w:val="003632EB"/>
    <w:rsid w:val="00366372"/>
    <w:rsid w:val="00372E52"/>
    <w:rsid w:val="003735C8"/>
    <w:rsid w:val="00375001"/>
    <w:rsid w:val="00375B46"/>
    <w:rsid w:val="00377B34"/>
    <w:rsid w:val="003840F0"/>
    <w:rsid w:val="00384321"/>
    <w:rsid w:val="0038567A"/>
    <w:rsid w:val="00386B35"/>
    <w:rsid w:val="00386D2F"/>
    <w:rsid w:val="0038716D"/>
    <w:rsid w:val="00390256"/>
    <w:rsid w:val="00391653"/>
    <w:rsid w:val="003916D0"/>
    <w:rsid w:val="00391BC6"/>
    <w:rsid w:val="00392873"/>
    <w:rsid w:val="00396EED"/>
    <w:rsid w:val="00397FC0"/>
    <w:rsid w:val="003A0927"/>
    <w:rsid w:val="003A4333"/>
    <w:rsid w:val="003A47C4"/>
    <w:rsid w:val="003A6D6C"/>
    <w:rsid w:val="003B05DB"/>
    <w:rsid w:val="003B2A01"/>
    <w:rsid w:val="003B2C91"/>
    <w:rsid w:val="003B2CC8"/>
    <w:rsid w:val="003B320E"/>
    <w:rsid w:val="003B33BA"/>
    <w:rsid w:val="003B5D1B"/>
    <w:rsid w:val="003B62B2"/>
    <w:rsid w:val="003B64C0"/>
    <w:rsid w:val="003B7989"/>
    <w:rsid w:val="003C2492"/>
    <w:rsid w:val="003C2F2B"/>
    <w:rsid w:val="003C3551"/>
    <w:rsid w:val="003C4AEC"/>
    <w:rsid w:val="003C5393"/>
    <w:rsid w:val="003C5969"/>
    <w:rsid w:val="003C762C"/>
    <w:rsid w:val="003C786C"/>
    <w:rsid w:val="003D0470"/>
    <w:rsid w:val="003D0518"/>
    <w:rsid w:val="003D0DCC"/>
    <w:rsid w:val="003D2514"/>
    <w:rsid w:val="003D311D"/>
    <w:rsid w:val="003D4A49"/>
    <w:rsid w:val="003D4E1F"/>
    <w:rsid w:val="003D59AB"/>
    <w:rsid w:val="003D75AD"/>
    <w:rsid w:val="003E0D3A"/>
    <w:rsid w:val="003E0E26"/>
    <w:rsid w:val="003E0F06"/>
    <w:rsid w:val="003E1F2E"/>
    <w:rsid w:val="003E2473"/>
    <w:rsid w:val="003E2A97"/>
    <w:rsid w:val="003E3DAD"/>
    <w:rsid w:val="003E41E8"/>
    <w:rsid w:val="003E4A1A"/>
    <w:rsid w:val="003E5FA1"/>
    <w:rsid w:val="003F1739"/>
    <w:rsid w:val="003F1C38"/>
    <w:rsid w:val="003F2CF3"/>
    <w:rsid w:val="003F3D54"/>
    <w:rsid w:val="003F6249"/>
    <w:rsid w:val="003F64A6"/>
    <w:rsid w:val="003F6879"/>
    <w:rsid w:val="003F68D7"/>
    <w:rsid w:val="003F6F2D"/>
    <w:rsid w:val="003F7441"/>
    <w:rsid w:val="003F7D10"/>
    <w:rsid w:val="00400D7C"/>
    <w:rsid w:val="00400F01"/>
    <w:rsid w:val="004021B4"/>
    <w:rsid w:val="00402477"/>
    <w:rsid w:val="00402A40"/>
    <w:rsid w:val="00404E50"/>
    <w:rsid w:val="004053A0"/>
    <w:rsid w:val="00411177"/>
    <w:rsid w:val="0041156A"/>
    <w:rsid w:val="00412DC6"/>
    <w:rsid w:val="00412EB7"/>
    <w:rsid w:val="004136ED"/>
    <w:rsid w:val="00413B82"/>
    <w:rsid w:val="00414C4C"/>
    <w:rsid w:val="0041515A"/>
    <w:rsid w:val="00415A64"/>
    <w:rsid w:val="00415E55"/>
    <w:rsid w:val="00416147"/>
    <w:rsid w:val="00417D79"/>
    <w:rsid w:val="004211DB"/>
    <w:rsid w:val="0042341F"/>
    <w:rsid w:val="00424D2C"/>
    <w:rsid w:val="00425FDB"/>
    <w:rsid w:val="004265C6"/>
    <w:rsid w:val="004267F2"/>
    <w:rsid w:val="00431C00"/>
    <w:rsid w:val="004321CC"/>
    <w:rsid w:val="00432508"/>
    <w:rsid w:val="00432540"/>
    <w:rsid w:val="004331AD"/>
    <w:rsid w:val="00434172"/>
    <w:rsid w:val="0043449D"/>
    <w:rsid w:val="004345AD"/>
    <w:rsid w:val="004369B8"/>
    <w:rsid w:val="004371FB"/>
    <w:rsid w:val="00440FF7"/>
    <w:rsid w:val="00441196"/>
    <w:rsid w:val="00441C0D"/>
    <w:rsid w:val="00441DAD"/>
    <w:rsid w:val="00442674"/>
    <w:rsid w:val="004429A6"/>
    <w:rsid w:val="00444B86"/>
    <w:rsid w:val="00444D54"/>
    <w:rsid w:val="00444F1F"/>
    <w:rsid w:val="00445159"/>
    <w:rsid w:val="0044552A"/>
    <w:rsid w:val="00451463"/>
    <w:rsid w:val="004516D7"/>
    <w:rsid w:val="00452194"/>
    <w:rsid w:val="004531C5"/>
    <w:rsid w:val="004610A0"/>
    <w:rsid w:val="004622D5"/>
    <w:rsid w:val="004623FC"/>
    <w:rsid w:val="00462C68"/>
    <w:rsid w:val="00463B7B"/>
    <w:rsid w:val="00466762"/>
    <w:rsid w:val="00470E37"/>
    <w:rsid w:val="004744AD"/>
    <w:rsid w:val="00475352"/>
    <w:rsid w:val="004769D4"/>
    <w:rsid w:val="00476FD5"/>
    <w:rsid w:val="00477AD4"/>
    <w:rsid w:val="00477D5F"/>
    <w:rsid w:val="00477F68"/>
    <w:rsid w:val="004804A8"/>
    <w:rsid w:val="004817AE"/>
    <w:rsid w:val="00484961"/>
    <w:rsid w:val="00485735"/>
    <w:rsid w:val="00487D1D"/>
    <w:rsid w:val="00490100"/>
    <w:rsid w:val="004906B3"/>
    <w:rsid w:val="00490F91"/>
    <w:rsid w:val="004920D7"/>
    <w:rsid w:val="00492569"/>
    <w:rsid w:val="004928CE"/>
    <w:rsid w:val="00494544"/>
    <w:rsid w:val="00495362"/>
    <w:rsid w:val="00495D6E"/>
    <w:rsid w:val="00497092"/>
    <w:rsid w:val="004A15FD"/>
    <w:rsid w:val="004A1987"/>
    <w:rsid w:val="004A223B"/>
    <w:rsid w:val="004A22C5"/>
    <w:rsid w:val="004A513B"/>
    <w:rsid w:val="004A5D91"/>
    <w:rsid w:val="004A6298"/>
    <w:rsid w:val="004A693B"/>
    <w:rsid w:val="004A7546"/>
    <w:rsid w:val="004B27BA"/>
    <w:rsid w:val="004B3065"/>
    <w:rsid w:val="004B36C0"/>
    <w:rsid w:val="004B4F3F"/>
    <w:rsid w:val="004B5C7A"/>
    <w:rsid w:val="004B6536"/>
    <w:rsid w:val="004B728D"/>
    <w:rsid w:val="004B72A2"/>
    <w:rsid w:val="004C036B"/>
    <w:rsid w:val="004C2984"/>
    <w:rsid w:val="004C2A8F"/>
    <w:rsid w:val="004C4DEC"/>
    <w:rsid w:val="004C58F7"/>
    <w:rsid w:val="004C66E0"/>
    <w:rsid w:val="004C6F19"/>
    <w:rsid w:val="004D02A4"/>
    <w:rsid w:val="004D08C8"/>
    <w:rsid w:val="004D1832"/>
    <w:rsid w:val="004D2D71"/>
    <w:rsid w:val="004D39A2"/>
    <w:rsid w:val="004D4E53"/>
    <w:rsid w:val="004D5274"/>
    <w:rsid w:val="004D6A10"/>
    <w:rsid w:val="004D7671"/>
    <w:rsid w:val="004D7FA8"/>
    <w:rsid w:val="004E16F1"/>
    <w:rsid w:val="004E19F8"/>
    <w:rsid w:val="004E21A9"/>
    <w:rsid w:val="004E46A9"/>
    <w:rsid w:val="004E4978"/>
    <w:rsid w:val="004E64DC"/>
    <w:rsid w:val="004E79A4"/>
    <w:rsid w:val="004E7B65"/>
    <w:rsid w:val="004E7EF5"/>
    <w:rsid w:val="004F22C3"/>
    <w:rsid w:val="004F46EC"/>
    <w:rsid w:val="004F5191"/>
    <w:rsid w:val="004F5232"/>
    <w:rsid w:val="004F7C13"/>
    <w:rsid w:val="004F7E4A"/>
    <w:rsid w:val="0050213F"/>
    <w:rsid w:val="00503764"/>
    <w:rsid w:val="00504BEB"/>
    <w:rsid w:val="00507296"/>
    <w:rsid w:val="00511277"/>
    <w:rsid w:val="00512A6C"/>
    <w:rsid w:val="00514A4D"/>
    <w:rsid w:val="00514D79"/>
    <w:rsid w:val="00515850"/>
    <w:rsid w:val="005158E4"/>
    <w:rsid w:val="00517799"/>
    <w:rsid w:val="00520E2B"/>
    <w:rsid w:val="005211F4"/>
    <w:rsid w:val="0052207C"/>
    <w:rsid w:val="005224BF"/>
    <w:rsid w:val="005224E8"/>
    <w:rsid w:val="00522C17"/>
    <w:rsid w:val="00526A4A"/>
    <w:rsid w:val="00530AE0"/>
    <w:rsid w:val="00531FC0"/>
    <w:rsid w:val="00532BFF"/>
    <w:rsid w:val="00534377"/>
    <w:rsid w:val="00535284"/>
    <w:rsid w:val="005352FC"/>
    <w:rsid w:val="00535737"/>
    <w:rsid w:val="00535D42"/>
    <w:rsid w:val="0053624C"/>
    <w:rsid w:val="0053647F"/>
    <w:rsid w:val="00536A51"/>
    <w:rsid w:val="0053733C"/>
    <w:rsid w:val="005400DF"/>
    <w:rsid w:val="00540C11"/>
    <w:rsid w:val="00542433"/>
    <w:rsid w:val="00544837"/>
    <w:rsid w:val="0054499D"/>
    <w:rsid w:val="00546C37"/>
    <w:rsid w:val="00546DD8"/>
    <w:rsid w:val="00547C36"/>
    <w:rsid w:val="00551CAB"/>
    <w:rsid w:val="005522E6"/>
    <w:rsid w:val="0055421F"/>
    <w:rsid w:val="005544E9"/>
    <w:rsid w:val="0055472C"/>
    <w:rsid w:val="00554E5A"/>
    <w:rsid w:val="00560049"/>
    <w:rsid w:val="005607E7"/>
    <w:rsid w:val="00560B67"/>
    <w:rsid w:val="00561236"/>
    <w:rsid w:val="00562710"/>
    <w:rsid w:val="0056399E"/>
    <w:rsid w:val="00564394"/>
    <w:rsid w:val="00565114"/>
    <w:rsid w:val="00567426"/>
    <w:rsid w:val="00571204"/>
    <w:rsid w:val="005724FE"/>
    <w:rsid w:val="00573BD8"/>
    <w:rsid w:val="00574FE8"/>
    <w:rsid w:val="00576F69"/>
    <w:rsid w:val="00577513"/>
    <w:rsid w:val="00580730"/>
    <w:rsid w:val="00580BC3"/>
    <w:rsid w:val="0058236D"/>
    <w:rsid w:val="0058320F"/>
    <w:rsid w:val="0058325D"/>
    <w:rsid w:val="00583351"/>
    <w:rsid w:val="0058345A"/>
    <w:rsid w:val="005859EA"/>
    <w:rsid w:val="00585B27"/>
    <w:rsid w:val="00585F7F"/>
    <w:rsid w:val="00591725"/>
    <w:rsid w:val="00592013"/>
    <w:rsid w:val="00592DCA"/>
    <w:rsid w:val="005942AC"/>
    <w:rsid w:val="005944D9"/>
    <w:rsid w:val="00594725"/>
    <w:rsid w:val="00595AC3"/>
    <w:rsid w:val="005974B0"/>
    <w:rsid w:val="00597838"/>
    <w:rsid w:val="005978CA"/>
    <w:rsid w:val="00597B10"/>
    <w:rsid w:val="00597E29"/>
    <w:rsid w:val="005A1B6C"/>
    <w:rsid w:val="005A4901"/>
    <w:rsid w:val="005A5145"/>
    <w:rsid w:val="005A5432"/>
    <w:rsid w:val="005A77E3"/>
    <w:rsid w:val="005A7867"/>
    <w:rsid w:val="005A7DEA"/>
    <w:rsid w:val="005A7F39"/>
    <w:rsid w:val="005B074F"/>
    <w:rsid w:val="005B0A9F"/>
    <w:rsid w:val="005B11F4"/>
    <w:rsid w:val="005B1B52"/>
    <w:rsid w:val="005B1C40"/>
    <w:rsid w:val="005B2BA5"/>
    <w:rsid w:val="005B31EC"/>
    <w:rsid w:val="005B3C86"/>
    <w:rsid w:val="005B3DA1"/>
    <w:rsid w:val="005B4324"/>
    <w:rsid w:val="005B7E9D"/>
    <w:rsid w:val="005C0ADA"/>
    <w:rsid w:val="005C1E98"/>
    <w:rsid w:val="005C53BF"/>
    <w:rsid w:val="005C702F"/>
    <w:rsid w:val="005C7478"/>
    <w:rsid w:val="005C76B5"/>
    <w:rsid w:val="005D096F"/>
    <w:rsid w:val="005D2AFC"/>
    <w:rsid w:val="005D3363"/>
    <w:rsid w:val="005D4509"/>
    <w:rsid w:val="005D4950"/>
    <w:rsid w:val="005D6398"/>
    <w:rsid w:val="005E00F5"/>
    <w:rsid w:val="005E11CF"/>
    <w:rsid w:val="005E2AD4"/>
    <w:rsid w:val="005E3037"/>
    <w:rsid w:val="005E3516"/>
    <w:rsid w:val="005E6BCE"/>
    <w:rsid w:val="005F1A7D"/>
    <w:rsid w:val="005F1F69"/>
    <w:rsid w:val="005F2513"/>
    <w:rsid w:val="005F2AC1"/>
    <w:rsid w:val="005F4A63"/>
    <w:rsid w:val="005F6718"/>
    <w:rsid w:val="005F79A1"/>
    <w:rsid w:val="005F7B27"/>
    <w:rsid w:val="00600228"/>
    <w:rsid w:val="00601DA0"/>
    <w:rsid w:val="006026F9"/>
    <w:rsid w:val="00602D60"/>
    <w:rsid w:val="00604B5C"/>
    <w:rsid w:val="00606C37"/>
    <w:rsid w:val="0061290D"/>
    <w:rsid w:val="00613D29"/>
    <w:rsid w:val="00613EAC"/>
    <w:rsid w:val="006140A7"/>
    <w:rsid w:val="00614973"/>
    <w:rsid w:val="00615680"/>
    <w:rsid w:val="00615930"/>
    <w:rsid w:val="00616BC0"/>
    <w:rsid w:val="00616F49"/>
    <w:rsid w:val="00617321"/>
    <w:rsid w:val="00617605"/>
    <w:rsid w:val="006216F3"/>
    <w:rsid w:val="00623FF9"/>
    <w:rsid w:val="00624531"/>
    <w:rsid w:val="00624DEE"/>
    <w:rsid w:val="00624FFF"/>
    <w:rsid w:val="0062584B"/>
    <w:rsid w:val="00625906"/>
    <w:rsid w:val="0062641F"/>
    <w:rsid w:val="00627025"/>
    <w:rsid w:val="00627FAB"/>
    <w:rsid w:val="006319DE"/>
    <w:rsid w:val="00631CFC"/>
    <w:rsid w:val="0063260C"/>
    <w:rsid w:val="00632EF0"/>
    <w:rsid w:val="0063388C"/>
    <w:rsid w:val="006360B5"/>
    <w:rsid w:val="006364BB"/>
    <w:rsid w:val="0064028A"/>
    <w:rsid w:val="00640A0A"/>
    <w:rsid w:val="00642B8F"/>
    <w:rsid w:val="0064469C"/>
    <w:rsid w:val="00645210"/>
    <w:rsid w:val="006455B1"/>
    <w:rsid w:val="00646444"/>
    <w:rsid w:val="00646B82"/>
    <w:rsid w:val="0065037A"/>
    <w:rsid w:val="00650AE7"/>
    <w:rsid w:val="006523E7"/>
    <w:rsid w:val="006534DE"/>
    <w:rsid w:val="00655854"/>
    <w:rsid w:val="006565F7"/>
    <w:rsid w:val="00657FC2"/>
    <w:rsid w:val="0066006C"/>
    <w:rsid w:val="006602C5"/>
    <w:rsid w:val="00660C6C"/>
    <w:rsid w:val="00661A4F"/>
    <w:rsid w:val="00661CF3"/>
    <w:rsid w:val="00663121"/>
    <w:rsid w:val="00664486"/>
    <w:rsid w:val="00664C1C"/>
    <w:rsid w:val="00665A57"/>
    <w:rsid w:val="00666F34"/>
    <w:rsid w:val="0067012A"/>
    <w:rsid w:val="00675242"/>
    <w:rsid w:val="006762BA"/>
    <w:rsid w:val="0067734F"/>
    <w:rsid w:val="00677AE7"/>
    <w:rsid w:val="00682521"/>
    <w:rsid w:val="006832B9"/>
    <w:rsid w:val="006833BE"/>
    <w:rsid w:val="00683D0C"/>
    <w:rsid w:val="00685302"/>
    <w:rsid w:val="006855EC"/>
    <w:rsid w:val="006874B9"/>
    <w:rsid w:val="006905E8"/>
    <w:rsid w:val="00691940"/>
    <w:rsid w:val="00691C64"/>
    <w:rsid w:val="006920FA"/>
    <w:rsid w:val="00692173"/>
    <w:rsid w:val="006932B8"/>
    <w:rsid w:val="006938A5"/>
    <w:rsid w:val="00693BB2"/>
    <w:rsid w:val="00695530"/>
    <w:rsid w:val="00696609"/>
    <w:rsid w:val="00697A82"/>
    <w:rsid w:val="006A07ED"/>
    <w:rsid w:val="006A21D8"/>
    <w:rsid w:val="006A3816"/>
    <w:rsid w:val="006A3D5E"/>
    <w:rsid w:val="006A77A4"/>
    <w:rsid w:val="006A7B65"/>
    <w:rsid w:val="006B29E2"/>
    <w:rsid w:val="006B2DC1"/>
    <w:rsid w:val="006B381A"/>
    <w:rsid w:val="006B385A"/>
    <w:rsid w:val="006B4577"/>
    <w:rsid w:val="006B59E3"/>
    <w:rsid w:val="006B5B66"/>
    <w:rsid w:val="006B5F20"/>
    <w:rsid w:val="006B62A7"/>
    <w:rsid w:val="006B6AA5"/>
    <w:rsid w:val="006C1A1F"/>
    <w:rsid w:val="006C6454"/>
    <w:rsid w:val="006D15F9"/>
    <w:rsid w:val="006D3163"/>
    <w:rsid w:val="006D3C76"/>
    <w:rsid w:val="006D693E"/>
    <w:rsid w:val="006E082F"/>
    <w:rsid w:val="006E1405"/>
    <w:rsid w:val="006E1AB5"/>
    <w:rsid w:val="006E32FF"/>
    <w:rsid w:val="006E468E"/>
    <w:rsid w:val="006E54EC"/>
    <w:rsid w:val="006E6453"/>
    <w:rsid w:val="006F035A"/>
    <w:rsid w:val="006F1333"/>
    <w:rsid w:val="006F3328"/>
    <w:rsid w:val="00700725"/>
    <w:rsid w:val="00702BAE"/>
    <w:rsid w:val="007059AB"/>
    <w:rsid w:val="00707DE7"/>
    <w:rsid w:val="00707FE9"/>
    <w:rsid w:val="00710233"/>
    <w:rsid w:val="00711398"/>
    <w:rsid w:val="0071661B"/>
    <w:rsid w:val="00717BCD"/>
    <w:rsid w:val="00721038"/>
    <w:rsid w:val="00721566"/>
    <w:rsid w:val="00722E55"/>
    <w:rsid w:val="0072387D"/>
    <w:rsid w:val="0073012C"/>
    <w:rsid w:val="00731178"/>
    <w:rsid w:val="007321ED"/>
    <w:rsid w:val="00733604"/>
    <w:rsid w:val="007347AC"/>
    <w:rsid w:val="00734A24"/>
    <w:rsid w:val="00734CCC"/>
    <w:rsid w:val="0073589C"/>
    <w:rsid w:val="00735A25"/>
    <w:rsid w:val="007363D8"/>
    <w:rsid w:val="00736CB1"/>
    <w:rsid w:val="0074078A"/>
    <w:rsid w:val="00740EAE"/>
    <w:rsid w:val="00741C6D"/>
    <w:rsid w:val="007431B2"/>
    <w:rsid w:val="00744ECE"/>
    <w:rsid w:val="00746477"/>
    <w:rsid w:val="0074746B"/>
    <w:rsid w:val="0075219D"/>
    <w:rsid w:val="00752BDF"/>
    <w:rsid w:val="00755DA4"/>
    <w:rsid w:val="0075671D"/>
    <w:rsid w:val="00761BB0"/>
    <w:rsid w:val="007627E8"/>
    <w:rsid w:val="00762800"/>
    <w:rsid w:val="00764A64"/>
    <w:rsid w:val="00765431"/>
    <w:rsid w:val="00765905"/>
    <w:rsid w:val="0076703D"/>
    <w:rsid w:val="00767FF4"/>
    <w:rsid w:val="00770AB0"/>
    <w:rsid w:val="00771EA5"/>
    <w:rsid w:val="0077205D"/>
    <w:rsid w:val="0077293A"/>
    <w:rsid w:val="00772DCF"/>
    <w:rsid w:val="007743D3"/>
    <w:rsid w:val="007746AF"/>
    <w:rsid w:val="0077480C"/>
    <w:rsid w:val="00775E60"/>
    <w:rsid w:val="007760FA"/>
    <w:rsid w:val="00776B60"/>
    <w:rsid w:val="00776E5E"/>
    <w:rsid w:val="00780A20"/>
    <w:rsid w:val="0078130C"/>
    <w:rsid w:val="00782960"/>
    <w:rsid w:val="007834D7"/>
    <w:rsid w:val="00784632"/>
    <w:rsid w:val="00784E51"/>
    <w:rsid w:val="007854AD"/>
    <w:rsid w:val="0078554E"/>
    <w:rsid w:val="00785BCD"/>
    <w:rsid w:val="00785F22"/>
    <w:rsid w:val="0079025A"/>
    <w:rsid w:val="00790CEB"/>
    <w:rsid w:val="00790F69"/>
    <w:rsid w:val="007917D5"/>
    <w:rsid w:val="00791FBF"/>
    <w:rsid w:val="007941AB"/>
    <w:rsid w:val="007959E2"/>
    <w:rsid w:val="0079687F"/>
    <w:rsid w:val="00797CF2"/>
    <w:rsid w:val="007A163D"/>
    <w:rsid w:val="007A4C61"/>
    <w:rsid w:val="007A5626"/>
    <w:rsid w:val="007A5E7A"/>
    <w:rsid w:val="007A6442"/>
    <w:rsid w:val="007A75B6"/>
    <w:rsid w:val="007A7C9E"/>
    <w:rsid w:val="007B0408"/>
    <w:rsid w:val="007B30B0"/>
    <w:rsid w:val="007B4706"/>
    <w:rsid w:val="007B539A"/>
    <w:rsid w:val="007B5B6F"/>
    <w:rsid w:val="007B66A3"/>
    <w:rsid w:val="007C1D93"/>
    <w:rsid w:val="007C25A3"/>
    <w:rsid w:val="007C4248"/>
    <w:rsid w:val="007C4280"/>
    <w:rsid w:val="007C6DE7"/>
    <w:rsid w:val="007C7E86"/>
    <w:rsid w:val="007D0443"/>
    <w:rsid w:val="007D0B74"/>
    <w:rsid w:val="007D3832"/>
    <w:rsid w:val="007D3F86"/>
    <w:rsid w:val="007D55FC"/>
    <w:rsid w:val="007D5669"/>
    <w:rsid w:val="007D5C6A"/>
    <w:rsid w:val="007D781D"/>
    <w:rsid w:val="007D78FA"/>
    <w:rsid w:val="007E11C4"/>
    <w:rsid w:val="007E154B"/>
    <w:rsid w:val="007E1555"/>
    <w:rsid w:val="007E4F3B"/>
    <w:rsid w:val="007E5360"/>
    <w:rsid w:val="007E5C2C"/>
    <w:rsid w:val="007E6357"/>
    <w:rsid w:val="007E6AB9"/>
    <w:rsid w:val="007E77AF"/>
    <w:rsid w:val="007E7DA4"/>
    <w:rsid w:val="007F04E1"/>
    <w:rsid w:val="007F0962"/>
    <w:rsid w:val="007F24E5"/>
    <w:rsid w:val="007F255C"/>
    <w:rsid w:val="007F25DF"/>
    <w:rsid w:val="007F5FE5"/>
    <w:rsid w:val="007F70E3"/>
    <w:rsid w:val="0080120B"/>
    <w:rsid w:val="0080247D"/>
    <w:rsid w:val="00802B20"/>
    <w:rsid w:val="00802C03"/>
    <w:rsid w:val="00803F7C"/>
    <w:rsid w:val="008044A3"/>
    <w:rsid w:val="00805FA1"/>
    <w:rsid w:val="008109B4"/>
    <w:rsid w:val="00810D76"/>
    <w:rsid w:val="00811394"/>
    <w:rsid w:val="00813E6D"/>
    <w:rsid w:val="00814FD5"/>
    <w:rsid w:val="00815506"/>
    <w:rsid w:val="00816C29"/>
    <w:rsid w:val="0081702B"/>
    <w:rsid w:val="00817B5C"/>
    <w:rsid w:val="00820A40"/>
    <w:rsid w:val="0082207E"/>
    <w:rsid w:val="00822773"/>
    <w:rsid w:val="008230AF"/>
    <w:rsid w:val="0082410C"/>
    <w:rsid w:val="0083048F"/>
    <w:rsid w:val="00830AB9"/>
    <w:rsid w:val="00830CFD"/>
    <w:rsid w:val="00832274"/>
    <w:rsid w:val="008325C8"/>
    <w:rsid w:val="00834BAA"/>
    <w:rsid w:val="00834E7F"/>
    <w:rsid w:val="008353AA"/>
    <w:rsid w:val="00836589"/>
    <w:rsid w:val="008415C8"/>
    <w:rsid w:val="00841D66"/>
    <w:rsid w:val="0084231D"/>
    <w:rsid w:val="008424E1"/>
    <w:rsid w:val="00842B38"/>
    <w:rsid w:val="008434EC"/>
    <w:rsid w:val="00845C25"/>
    <w:rsid w:val="00846084"/>
    <w:rsid w:val="00850AC3"/>
    <w:rsid w:val="00850BC8"/>
    <w:rsid w:val="00850EC4"/>
    <w:rsid w:val="00851774"/>
    <w:rsid w:val="00851C10"/>
    <w:rsid w:val="00853945"/>
    <w:rsid w:val="00853F24"/>
    <w:rsid w:val="00854648"/>
    <w:rsid w:val="00855711"/>
    <w:rsid w:val="008560B8"/>
    <w:rsid w:val="00856557"/>
    <w:rsid w:val="008566BB"/>
    <w:rsid w:val="00857A35"/>
    <w:rsid w:val="0086064A"/>
    <w:rsid w:val="00862895"/>
    <w:rsid w:val="00863C56"/>
    <w:rsid w:val="00864AD6"/>
    <w:rsid w:val="008650AB"/>
    <w:rsid w:val="008658B5"/>
    <w:rsid w:val="00865C77"/>
    <w:rsid w:val="00866055"/>
    <w:rsid w:val="00866881"/>
    <w:rsid w:val="0087001F"/>
    <w:rsid w:val="00870270"/>
    <w:rsid w:val="0087158B"/>
    <w:rsid w:val="00871F6F"/>
    <w:rsid w:val="008730B9"/>
    <w:rsid w:val="0087394C"/>
    <w:rsid w:val="0087595E"/>
    <w:rsid w:val="0087641E"/>
    <w:rsid w:val="008764B0"/>
    <w:rsid w:val="00876842"/>
    <w:rsid w:val="00877E46"/>
    <w:rsid w:val="008806FB"/>
    <w:rsid w:val="00880F78"/>
    <w:rsid w:val="00881A3A"/>
    <w:rsid w:val="00881C27"/>
    <w:rsid w:val="00883490"/>
    <w:rsid w:val="00885950"/>
    <w:rsid w:val="00886029"/>
    <w:rsid w:val="00887B51"/>
    <w:rsid w:val="00890333"/>
    <w:rsid w:val="00890FD0"/>
    <w:rsid w:val="00892984"/>
    <w:rsid w:val="008933E5"/>
    <w:rsid w:val="008938DB"/>
    <w:rsid w:val="00894BC2"/>
    <w:rsid w:val="008957F5"/>
    <w:rsid w:val="00895AD9"/>
    <w:rsid w:val="00895D5D"/>
    <w:rsid w:val="008A14D4"/>
    <w:rsid w:val="008A17B6"/>
    <w:rsid w:val="008A38E3"/>
    <w:rsid w:val="008A44F5"/>
    <w:rsid w:val="008A6476"/>
    <w:rsid w:val="008A73FE"/>
    <w:rsid w:val="008B13D6"/>
    <w:rsid w:val="008B16E8"/>
    <w:rsid w:val="008B3AFE"/>
    <w:rsid w:val="008C05B4"/>
    <w:rsid w:val="008C2267"/>
    <w:rsid w:val="008C22DA"/>
    <w:rsid w:val="008C255B"/>
    <w:rsid w:val="008C3C02"/>
    <w:rsid w:val="008C632F"/>
    <w:rsid w:val="008C64BF"/>
    <w:rsid w:val="008C737E"/>
    <w:rsid w:val="008D017C"/>
    <w:rsid w:val="008D15F8"/>
    <w:rsid w:val="008D1CA6"/>
    <w:rsid w:val="008D51AA"/>
    <w:rsid w:val="008D6575"/>
    <w:rsid w:val="008D6E43"/>
    <w:rsid w:val="008E0D37"/>
    <w:rsid w:val="008E1041"/>
    <w:rsid w:val="008E13CC"/>
    <w:rsid w:val="008E14C0"/>
    <w:rsid w:val="008E1EF5"/>
    <w:rsid w:val="008E25F0"/>
    <w:rsid w:val="008E3512"/>
    <w:rsid w:val="008E3535"/>
    <w:rsid w:val="008E6F01"/>
    <w:rsid w:val="008E7A9A"/>
    <w:rsid w:val="008E7F9D"/>
    <w:rsid w:val="008F0438"/>
    <w:rsid w:val="008F230A"/>
    <w:rsid w:val="008F46D9"/>
    <w:rsid w:val="00900208"/>
    <w:rsid w:val="00902BFB"/>
    <w:rsid w:val="009033BB"/>
    <w:rsid w:val="009034D4"/>
    <w:rsid w:val="009035FF"/>
    <w:rsid w:val="00906B10"/>
    <w:rsid w:val="00907ACB"/>
    <w:rsid w:val="00907D5E"/>
    <w:rsid w:val="009110E1"/>
    <w:rsid w:val="00915C98"/>
    <w:rsid w:val="0091613F"/>
    <w:rsid w:val="0091736A"/>
    <w:rsid w:val="00917455"/>
    <w:rsid w:val="009221F9"/>
    <w:rsid w:val="0092263D"/>
    <w:rsid w:val="0092398C"/>
    <w:rsid w:val="00923B82"/>
    <w:rsid w:val="00924A3C"/>
    <w:rsid w:val="00927CA7"/>
    <w:rsid w:val="009303CA"/>
    <w:rsid w:val="00930826"/>
    <w:rsid w:val="0093217D"/>
    <w:rsid w:val="009328D3"/>
    <w:rsid w:val="00933D31"/>
    <w:rsid w:val="00933EC7"/>
    <w:rsid w:val="00934E0E"/>
    <w:rsid w:val="009370B5"/>
    <w:rsid w:val="009378AF"/>
    <w:rsid w:val="00937B7D"/>
    <w:rsid w:val="00937EF0"/>
    <w:rsid w:val="0094049D"/>
    <w:rsid w:val="009407E9"/>
    <w:rsid w:val="009423DB"/>
    <w:rsid w:val="00942A47"/>
    <w:rsid w:val="00943442"/>
    <w:rsid w:val="00944CFE"/>
    <w:rsid w:val="00945BD4"/>
    <w:rsid w:val="009506DF"/>
    <w:rsid w:val="00951E1D"/>
    <w:rsid w:val="009520EF"/>
    <w:rsid w:val="00952A5B"/>
    <w:rsid w:val="00953548"/>
    <w:rsid w:val="009550FD"/>
    <w:rsid w:val="0095651D"/>
    <w:rsid w:val="0095666C"/>
    <w:rsid w:val="0095707A"/>
    <w:rsid w:val="0095749B"/>
    <w:rsid w:val="00961B60"/>
    <w:rsid w:val="00964314"/>
    <w:rsid w:val="00965293"/>
    <w:rsid w:val="009674A4"/>
    <w:rsid w:val="0096787D"/>
    <w:rsid w:val="009746F6"/>
    <w:rsid w:val="00975EC0"/>
    <w:rsid w:val="00976BEE"/>
    <w:rsid w:val="009804D5"/>
    <w:rsid w:val="009811D4"/>
    <w:rsid w:val="009816CB"/>
    <w:rsid w:val="00985216"/>
    <w:rsid w:val="009868DA"/>
    <w:rsid w:val="0098766B"/>
    <w:rsid w:val="0099031D"/>
    <w:rsid w:val="009929D0"/>
    <w:rsid w:val="00993980"/>
    <w:rsid w:val="00994800"/>
    <w:rsid w:val="00994828"/>
    <w:rsid w:val="00994965"/>
    <w:rsid w:val="00994DC1"/>
    <w:rsid w:val="00996CEB"/>
    <w:rsid w:val="00996EFE"/>
    <w:rsid w:val="0099720E"/>
    <w:rsid w:val="0099733D"/>
    <w:rsid w:val="009973E7"/>
    <w:rsid w:val="0099758C"/>
    <w:rsid w:val="00997893"/>
    <w:rsid w:val="009A0EBF"/>
    <w:rsid w:val="009A4B2F"/>
    <w:rsid w:val="009A4C7F"/>
    <w:rsid w:val="009A52E1"/>
    <w:rsid w:val="009A58B7"/>
    <w:rsid w:val="009A75F7"/>
    <w:rsid w:val="009A7DBD"/>
    <w:rsid w:val="009B16FC"/>
    <w:rsid w:val="009B1CF3"/>
    <w:rsid w:val="009B1E12"/>
    <w:rsid w:val="009C1DAC"/>
    <w:rsid w:val="009C2427"/>
    <w:rsid w:val="009C5616"/>
    <w:rsid w:val="009C76DD"/>
    <w:rsid w:val="009D0601"/>
    <w:rsid w:val="009D0B0C"/>
    <w:rsid w:val="009D1597"/>
    <w:rsid w:val="009D1861"/>
    <w:rsid w:val="009D303D"/>
    <w:rsid w:val="009D3347"/>
    <w:rsid w:val="009D7512"/>
    <w:rsid w:val="009E0FB1"/>
    <w:rsid w:val="009E184D"/>
    <w:rsid w:val="009E18A2"/>
    <w:rsid w:val="009E2381"/>
    <w:rsid w:val="009E25DF"/>
    <w:rsid w:val="009E3737"/>
    <w:rsid w:val="009E3ED7"/>
    <w:rsid w:val="009E5661"/>
    <w:rsid w:val="009E5CC8"/>
    <w:rsid w:val="009E6866"/>
    <w:rsid w:val="009E7DAF"/>
    <w:rsid w:val="009F05E4"/>
    <w:rsid w:val="009F0804"/>
    <w:rsid w:val="009F1536"/>
    <w:rsid w:val="009F16B8"/>
    <w:rsid w:val="009F16DE"/>
    <w:rsid w:val="009F24EA"/>
    <w:rsid w:val="009F3A8F"/>
    <w:rsid w:val="009F437C"/>
    <w:rsid w:val="009F66F8"/>
    <w:rsid w:val="009F6AFD"/>
    <w:rsid w:val="00A000C6"/>
    <w:rsid w:val="00A00119"/>
    <w:rsid w:val="00A00686"/>
    <w:rsid w:val="00A00848"/>
    <w:rsid w:val="00A0123E"/>
    <w:rsid w:val="00A01A91"/>
    <w:rsid w:val="00A02BC2"/>
    <w:rsid w:val="00A02C05"/>
    <w:rsid w:val="00A02EB1"/>
    <w:rsid w:val="00A040B4"/>
    <w:rsid w:val="00A0424D"/>
    <w:rsid w:val="00A04394"/>
    <w:rsid w:val="00A04545"/>
    <w:rsid w:val="00A05BD8"/>
    <w:rsid w:val="00A066D0"/>
    <w:rsid w:val="00A06FFB"/>
    <w:rsid w:val="00A07B52"/>
    <w:rsid w:val="00A1067C"/>
    <w:rsid w:val="00A108EA"/>
    <w:rsid w:val="00A10C1F"/>
    <w:rsid w:val="00A12091"/>
    <w:rsid w:val="00A14ADA"/>
    <w:rsid w:val="00A1510D"/>
    <w:rsid w:val="00A153C1"/>
    <w:rsid w:val="00A158C8"/>
    <w:rsid w:val="00A16E18"/>
    <w:rsid w:val="00A17742"/>
    <w:rsid w:val="00A22FD4"/>
    <w:rsid w:val="00A23699"/>
    <w:rsid w:val="00A23F12"/>
    <w:rsid w:val="00A23FE9"/>
    <w:rsid w:val="00A24256"/>
    <w:rsid w:val="00A2430D"/>
    <w:rsid w:val="00A248D6"/>
    <w:rsid w:val="00A27DEB"/>
    <w:rsid w:val="00A30944"/>
    <w:rsid w:val="00A311B9"/>
    <w:rsid w:val="00A314C6"/>
    <w:rsid w:val="00A31EE8"/>
    <w:rsid w:val="00A322EB"/>
    <w:rsid w:val="00A32505"/>
    <w:rsid w:val="00A32915"/>
    <w:rsid w:val="00A32CA7"/>
    <w:rsid w:val="00A35812"/>
    <w:rsid w:val="00A35DEA"/>
    <w:rsid w:val="00A36C28"/>
    <w:rsid w:val="00A36F56"/>
    <w:rsid w:val="00A37754"/>
    <w:rsid w:val="00A37A58"/>
    <w:rsid w:val="00A37C5A"/>
    <w:rsid w:val="00A4323E"/>
    <w:rsid w:val="00A4450B"/>
    <w:rsid w:val="00A44B40"/>
    <w:rsid w:val="00A44E13"/>
    <w:rsid w:val="00A4513E"/>
    <w:rsid w:val="00A454E0"/>
    <w:rsid w:val="00A47BDD"/>
    <w:rsid w:val="00A47CB7"/>
    <w:rsid w:val="00A50F08"/>
    <w:rsid w:val="00A51CF5"/>
    <w:rsid w:val="00A51F55"/>
    <w:rsid w:val="00A54ECC"/>
    <w:rsid w:val="00A57090"/>
    <w:rsid w:val="00A6049F"/>
    <w:rsid w:val="00A614C5"/>
    <w:rsid w:val="00A616B1"/>
    <w:rsid w:val="00A61AA9"/>
    <w:rsid w:val="00A61AE5"/>
    <w:rsid w:val="00A6429F"/>
    <w:rsid w:val="00A66138"/>
    <w:rsid w:val="00A6662F"/>
    <w:rsid w:val="00A66759"/>
    <w:rsid w:val="00A677B3"/>
    <w:rsid w:val="00A678E7"/>
    <w:rsid w:val="00A723AC"/>
    <w:rsid w:val="00A75070"/>
    <w:rsid w:val="00A750F8"/>
    <w:rsid w:val="00A75155"/>
    <w:rsid w:val="00A76EDC"/>
    <w:rsid w:val="00A8057D"/>
    <w:rsid w:val="00A815E5"/>
    <w:rsid w:val="00A81F51"/>
    <w:rsid w:val="00A8403F"/>
    <w:rsid w:val="00A86315"/>
    <w:rsid w:val="00A864AC"/>
    <w:rsid w:val="00A94288"/>
    <w:rsid w:val="00A96FF5"/>
    <w:rsid w:val="00A9716E"/>
    <w:rsid w:val="00A97741"/>
    <w:rsid w:val="00A977D9"/>
    <w:rsid w:val="00A97C44"/>
    <w:rsid w:val="00A97E25"/>
    <w:rsid w:val="00AA01EA"/>
    <w:rsid w:val="00AA0B06"/>
    <w:rsid w:val="00AA3222"/>
    <w:rsid w:val="00AA350F"/>
    <w:rsid w:val="00AA5B96"/>
    <w:rsid w:val="00AA6B2D"/>
    <w:rsid w:val="00AA7B44"/>
    <w:rsid w:val="00AA7D78"/>
    <w:rsid w:val="00AB0FD3"/>
    <w:rsid w:val="00AB4186"/>
    <w:rsid w:val="00AB42D7"/>
    <w:rsid w:val="00AB43F1"/>
    <w:rsid w:val="00AB45CF"/>
    <w:rsid w:val="00AB471F"/>
    <w:rsid w:val="00AB4ABB"/>
    <w:rsid w:val="00AB74B6"/>
    <w:rsid w:val="00AC0255"/>
    <w:rsid w:val="00AC1228"/>
    <w:rsid w:val="00AC3F0C"/>
    <w:rsid w:val="00AC45BF"/>
    <w:rsid w:val="00AD0145"/>
    <w:rsid w:val="00AD0183"/>
    <w:rsid w:val="00AD0683"/>
    <w:rsid w:val="00AD0D1F"/>
    <w:rsid w:val="00AD18B5"/>
    <w:rsid w:val="00AD35E2"/>
    <w:rsid w:val="00AD3C49"/>
    <w:rsid w:val="00AD4991"/>
    <w:rsid w:val="00AD51D1"/>
    <w:rsid w:val="00AD6775"/>
    <w:rsid w:val="00AD7E52"/>
    <w:rsid w:val="00AE116C"/>
    <w:rsid w:val="00AE13D0"/>
    <w:rsid w:val="00AE2FF2"/>
    <w:rsid w:val="00AE3782"/>
    <w:rsid w:val="00AE4FD7"/>
    <w:rsid w:val="00AE5C87"/>
    <w:rsid w:val="00AE6AD8"/>
    <w:rsid w:val="00AE6DB4"/>
    <w:rsid w:val="00AE740D"/>
    <w:rsid w:val="00AE744B"/>
    <w:rsid w:val="00AE78E4"/>
    <w:rsid w:val="00AE7AEF"/>
    <w:rsid w:val="00AF0BF1"/>
    <w:rsid w:val="00AF3E7B"/>
    <w:rsid w:val="00AF649B"/>
    <w:rsid w:val="00AF7602"/>
    <w:rsid w:val="00B01374"/>
    <w:rsid w:val="00B02DB7"/>
    <w:rsid w:val="00B04ADD"/>
    <w:rsid w:val="00B0614C"/>
    <w:rsid w:val="00B0665A"/>
    <w:rsid w:val="00B07419"/>
    <w:rsid w:val="00B07C12"/>
    <w:rsid w:val="00B107F4"/>
    <w:rsid w:val="00B118CA"/>
    <w:rsid w:val="00B11B26"/>
    <w:rsid w:val="00B143F1"/>
    <w:rsid w:val="00B15CB5"/>
    <w:rsid w:val="00B15F4C"/>
    <w:rsid w:val="00B17472"/>
    <w:rsid w:val="00B20DA3"/>
    <w:rsid w:val="00B22F96"/>
    <w:rsid w:val="00B237D1"/>
    <w:rsid w:val="00B23AF6"/>
    <w:rsid w:val="00B24079"/>
    <w:rsid w:val="00B267F0"/>
    <w:rsid w:val="00B276F8"/>
    <w:rsid w:val="00B306DF"/>
    <w:rsid w:val="00B33AC4"/>
    <w:rsid w:val="00B33E60"/>
    <w:rsid w:val="00B35A16"/>
    <w:rsid w:val="00B37248"/>
    <w:rsid w:val="00B37383"/>
    <w:rsid w:val="00B40B7F"/>
    <w:rsid w:val="00B41C29"/>
    <w:rsid w:val="00B439C1"/>
    <w:rsid w:val="00B439C7"/>
    <w:rsid w:val="00B43E1F"/>
    <w:rsid w:val="00B4473A"/>
    <w:rsid w:val="00B452B8"/>
    <w:rsid w:val="00B463E1"/>
    <w:rsid w:val="00B4711C"/>
    <w:rsid w:val="00B50291"/>
    <w:rsid w:val="00B55495"/>
    <w:rsid w:val="00B55C8E"/>
    <w:rsid w:val="00B56483"/>
    <w:rsid w:val="00B5683D"/>
    <w:rsid w:val="00B56B5F"/>
    <w:rsid w:val="00B572CA"/>
    <w:rsid w:val="00B57666"/>
    <w:rsid w:val="00B61036"/>
    <w:rsid w:val="00B61F22"/>
    <w:rsid w:val="00B6213B"/>
    <w:rsid w:val="00B62BAF"/>
    <w:rsid w:val="00B632E4"/>
    <w:rsid w:val="00B64B4A"/>
    <w:rsid w:val="00B65969"/>
    <w:rsid w:val="00B70E1B"/>
    <w:rsid w:val="00B71464"/>
    <w:rsid w:val="00B71F4A"/>
    <w:rsid w:val="00B72C13"/>
    <w:rsid w:val="00B72D03"/>
    <w:rsid w:val="00B73792"/>
    <w:rsid w:val="00B76361"/>
    <w:rsid w:val="00B82FD5"/>
    <w:rsid w:val="00B858A8"/>
    <w:rsid w:val="00B85C04"/>
    <w:rsid w:val="00B86012"/>
    <w:rsid w:val="00B8664A"/>
    <w:rsid w:val="00B87684"/>
    <w:rsid w:val="00B8787D"/>
    <w:rsid w:val="00B90099"/>
    <w:rsid w:val="00B91A32"/>
    <w:rsid w:val="00B922FE"/>
    <w:rsid w:val="00B94DBC"/>
    <w:rsid w:val="00B94EC7"/>
    <w:rsid w:val="00B9628C"/>
    <w:rsid w:val="00B96850"/>
    <w:rsid w:val="00B970AE"/>
    <w:rsid w:val="00B979CB"/>
    <w:rsid w:val="00B97EFF"/>
    <w:rsid w:val="00BA0061"/>
    <w:rsid w:val="00BA146C"/>
    <w:rsid w:val="00BA1701"/>
    <w:rsid w:val="00BA2617"/>
    <w:rsid w:val="00BA401F"/>
    <w:rsid w:val="00BA4A91"/>
    <w:rsid w:val="00BA5816"/>
    <w:rsid w:val="00BA66B7"/>
    <w:rsid w:val="00BA69D8"/>
    <w:rsid w:val="00BA6DB4"/>
    <w:rsid w:val="00BA6F23"/>
    <w:rsid w:val="00BB27DB"/>
    <w:rsid w:val="00BB38BD"/>
    <w:rsid w:val="00BB4617"/>
    <w:rsid w:val="00BB5459"/>
    <w:rsid w:val="00BB5A1A"/>
    <w:rsid w:val="00BB5DE5"/>
    <w:rsid w:val="00BB7C43"/>
    <w:rsid w:val="00BB7E4B"/>
    <w:rsid w:val="00BC0423"/>
    <w:rsid w:val="00BC052D"/>
    <w:rsid w:val="00BC06DA"/>
    <w:rsid w:val="00BC0A05"/>
    <w:rsid w:val="00BC16FF"/>
    <w:rsid w:val="00BC3082"/>
    <w:rsid w:val="00BC45E5"/>
    <w:rsid w:val="00BC5244"/>
    <w:rsid w:val="00BC5F08"/>
    <w:rsid w:val="00BC6EDC"/>
    <w:rsid w:val="00BD037E"/>
    <w:rsid w:val="00BD0778"/>
    <w:rsid w:val="00BD0D67"/>
    <w:rsid w:val="00BD1AF2"/>
    <w:rsid w:val="00BD3C4C"/>
    <w:rsid w:val="00BD4371"/>
    <w:rsid w:val="00BD607F"/>
    <w:rsid w:val="00BD6CCB"/>
    <w:rsid w:val="00BD6D37"/>
    <w:rsid w:val="00BE0F88"/>
    <w:rsid w:val="00BE1A8B"/>
    <w:rsid w:val="00BE1C6F"/>
    <w:rsid w:val="00BE247E"/>
    <w:rsid w:val="00BE3475"/>
    <w:rsid w:val="00BE46A9"/>
    <w:rsid w:val="00BE4F06"/>
    <w:rsid w:val="00BE5517"/>
    <w:rsid w:val="00BE62E0"/>
    <w:rsid w:val="00BE6709"/>
    <w:rsid w:val="00BE748A"/>
    <w:rsid w:val="00BF211A"/>
    <w:rsid w:val="00BF2CC5"/>
    <w:rsid w:val="00BF38EA"/>
    <w:rsid w:val="00BF3FE7"/>
    <w:rsid w:val="00BF4964"/>
    <w:rsid w:val="00BF4BBD"/>
    <w:rsid w:val="00C01B2D"/>
    <w:rsid w:val="00C036ED"/>
    <w:rsid w:val="00C0462F"/>
    <w:rsid w:val="00C05566"/>
    <w:rsid w:val="00C061E8"/>
    <w:rsid w:val="00C06AA7"/>
    <w:rsid w:val="00C07222"/>
    <w:rsid w:val="00C07BE9"/>
    <w:rsid w:val="00C113DB"/>
    <w:rsid w:val="00C1214A"/>
    <w:rsid w:val="00C1253C"/>
    <w:rsid w:val="00C128C4"/>
    <w:rsid w:val="00C14376"/>
    <w:rsid w:val="00C1497E"/>
    <w:rsid w:val="00C17D9D"/>
    <w:rsid w:val="00C209FE"/>
    <w:rsid w:val="00C21363"/>
    <w:rsid w:val="00C234FB"/>
    <w:rsid w:val="00C2513E"/>
    <w:rsid w:val="00C26598"/>
    <w:rsid w:val="00C27BDE"/>
    <w:rsid w:val="00C31549"/>
    <w:rsid w:val="00C31EA1"/>
    <w:rsid w:val="00C32381"/>
    <w:rsid w:val="00C350F7"/>
    <w:rsid w:val="00C37C91"/>
    <w:rsid w:val="00C37D9B"/>
    <w:rsid w:val="00C4091B"/>
    <w:rsid w:val="00C50552"/>
    <w:rsid w:val="00C5289C"/>
    <w:rsid w:val="00C53160"/>
    <w:rsid w:val="00C53F45"/>
    <w:rsid w:val="00C57EFF"/>
    <w:rsid w:val="00C6350F"/>
    <w:rsid w:val="00C640A1"/>
    <w:rsid w:val="00C6544C"/>
    <w:rsid w:val="00C65864"/>
    <w:rsid w:val="00C70314"/>
    <w:rsid w:val="00C71135"/>
    <w:rsid w:val="00C7311B"/>
    <w:rsid w:val="00C74A41"/>
    <w:rsid w:val="00C757A6"/>
    <w:rsid w:val="00C804D2"/>
    <w:rsid w:val="00C8170A"/>
    <w:rsid w:val="00C81904"/>
    <w:rsid w:val="00C84950"/>
    <w:rsid w:val="00C87084"/>
    <w:rsid w:val="00C874E2"/>
    <w:rsid w:val="00C87DAC"/>
    <w:rsid w:val="00C90C20"/>
    <w:rsid w:val="00C911A3"/>
    <w:rsid w:val="00C912C6"/>
    <w:rsid w:val="00C91488"/>
    <w:rsid w:val="00C95533"/>
    <w:rsid w:val="00C95DB8"/>
    <w:rsid w:val="00C960CE"/>
    <w:rsid w:val="00C9632D"/>
    <w:rsid w:val="00CA00AC"/>
    <w:rsid w:val="00CA24B5"/>
    <w:rsid w:val="00CA329D"/>
    <w:rsid w:val="00CA3894"/>
    <w:rsid w:val="00CA4892"/>
    <w:rsid w:val="00CA6A6C"/>
    <w:rsid w:val="00CB1F47"/>
    <w:rsid w:val="00CB31F7"/>
    <w:rsid w:val="00CB5EB9"/>
    <w:rsid w:val="00CB7092"/>
    <w:rsid w:val="00CB7B5D"/>
    <w:rsid w:val="00CC0686"/>
    <w:rsid w:val="00CC0974"/>
    <w:rsid w:val="00CC0B88"/>
    <w:rsid w:val="00CC1015"/>
    <w:rsid w:val="00CC1765"/>
    <w:rsid w:val="00CC693C"/>
    <w:rsid w:val="00CD00A7"/>
    <w:rsid w:val="00CD0C80"/>
    <w:rsid w:val="00CD127C"/>
    <w:rsid w:val="00CD1CFF"/>
    <w:rsid w:val="00CD26A8"/>
    <w:rsid w:val="00CD26E8"/>
    <w:rsid w:val="00CD2945"/>
    <w:rsid w:val="00CD2B9E"/>
    <w:rsid w:val="00CD3145"/>
    <w:rsid w:val="00CD33AB"/>
    <w:rsid w:val="00CD4222"/>
    <w:rsid w:val="00CD5023"/>
    <w:rsid w:val="00CD528C"/>
    <w:rsid w:val="00CE04C4"/>
    <w:rsid w:val="00CE2085"/>
    <w:rsid w:val="00CE2688"/>
    <w:rsid w:val="00CE2EF0"/>
    <w:rsid w:val="00CE41AE"/>
    <w:rsid w:val="00CE49F8"/>
    <w:rsid w:val="00CE4BDF"/>
    <w:rsid w:val="00CE5020"/>
    <w:rsid w:val="00CE5049"/>
    <w:rsid w:val="00CE5230"/>
    <w:rsid w:val="00CE5EAE"/>
    <w:rsid w:val="00CE6833"/>
    <w:rsid w:val="00CE74DB"/>
    <w:rsid w:val="00CE7E0A"/>
    <w:rsid w:val="00CE7E71"/>
    <w:rsid w:val="00CF37C1"/>
    <w:rsid w:val="00CF37D2"/>
    <w:rsid w:val="00CF43DE"/>
    <w:rsid w:val="00CF5035"/>
    <w:rsid w:val="00CF59FF"/>
    <w:rsid w:val="00CF5D21"/>
    <w:rsid w:val="00CF6A94"/>
    <w:rsid w:val="00CF7167"/>
    <w:rsid w:val="00CF78B1"/>
    <w:rsid w:val="00D01079"/>
    <w:rsid w:val="00D01E06"/>
    <w:rsid w:val="00D01FAE"/>
    <w:rsid w:val="00D0365E"/>
    <w:rsid w:val="00D04882"/>
    <w:rsid w:val="00D04F68"/>
    <w:rsid w:val="00D05EE2"/>
    <w:rsid w:val="00D073C0"/>
    <w:rsid w:val="00D10D47"/>
    <w:rsid w:val="00D12CCA"/>
    <w:rsid w:val="00D13D24"/>
    <w:rsid w:val="00D15009"/>
    <w:rsid w:val="00D1607E"/>
    <w:rsid w:val="00D17078"/>
    <w:rsid w:val="00D20447"/>
    <w:rsid w:val="00D204C5"/>
    <w:rsid w:val="00D21719"/>
    <w:rsid w:val="00D246D7"/>
    <w:rsid w:val="00D25236"/>
    <w:rsid w:val="00D252C9"/>
    <w:rsid w:val="00D25339"/>
    <w:rsid w:val="00D25F57"/>
    <w:rsid w:val="00D26DF2"/>
    <w:rsid w:val="00D273F8"/>
    <w:rsid w:val="00D27992"/>
    <w:rsid w:val="00D30F08"/>
    <w:rsid w:val="00D320F5"/>
    <w:rsid w:val="00D3267B"/>
    <w:rsid w:val="00D32EA8"/>
    <w:rsid w:val="00D33245"/>
    <w:rsid w:val="00D33378"/>
    <w:rsid w:val="00D347CE"/>
    <w:rsid w:val="00D3505D"/>
    <w:rsid w:val="00D350E6"/>
    <w:rsid w:val="00D358C4"/>
    <w:rsid w:val="00D366A8"/>
    <w:rsid w:val="00D36793"/>
    <w:rsid w:val="00D40C3E"/>
    <w:rsid w:val="00D43BB9"/>
    <w:rsid w:val="00D452F0"/>
    <w:rsid w:val="00D502B9"/>
    <w:rsid w:val="00D506B0"/>
    <w:rsid w:val="00D525D6"/>
    <w:rsid w:val="00D525F4"/>
    <w:rsid w:val="00D55020"/>
    <w:rsid w:val="00D56155"/>
    <w:rsid w:val="00D568C7"/>
    <w:rsid w:val="00D56AAF"/>
    <w:rsid w:val="00D57F19"/>
    <w:rsid w:val="00D601DE"/>
    <w:rsid w:val="00D60AC2"/>
    <w:rsid w:val="00D61264"/>
    <w:rsid w:val="00D619DE"/>
    <w:rsid w:val="00D656B7"/>
    <w:rsid w:val="00D67402"/>
    <w:rsid w:val="00D71163"/>
    <w:rsid w:val="00D71BD3"/>
    <w:rsid w:val="00D7260F"/>
    <w:rsid w:val="00D72EF2"/>
    <w:rsid w:val="00D72F19"/>
    <w:rsid w:val="00D736E9"/>
    <w:rsid w:val="00D73999"/>
    <w:rsid w:val="00D748D5"/>
    <w:rsid w:val="00D74CA0"/>
    <w:rsid w:val="00D7553B"/>
    <w:rsid w:val="00D7607C"/>
    <w:rsid w:val="00D761BC"/>
    <w:rsid w:val="00D76358"/>
    <w:rsid w:val="00D76BBE"/>
    <w:rsid w:val="00D8045A"/>
    <w:rsid w:val="00D816CB"/>
    <w:rsid w:val="00D82249"/>
    <w:rsid w:val="00D8226C"/>
    <w:rsid w:val="00D82DE8"/>
    <w:rsid w:val="00D83D00"/>
    <w:rsid w:val="00D83EDC"/>
    <w:rsid w:val="00D84D73"/>
    <w:rsid w:val="00D86541"/>
    <w:rsid w:val="00D87908"/>
    <w:rsid w:val="00D87AAE"/>
    <w:rsid w:val="00D902A3"/>
    <w:rsid w:val="00D94067"/>
    <w:rsid w:val="00DA0F2B"/>
    <w:rsid w:val="00DA212D"/>
    <w:rsid w:val="00DA2640"/>
    <w:rsid w:val="00DA4276"/>
    <w:rsid w:val="00DA525A"/>
    <w:rsid w:val="00DB12F0"/>
    <w:rsid w:val="00DB3842"/>
    <w:rsid w:val="00DB3D4F"/>
    <w:rsid w:val="00DB4901"/>
    <w:rsid w:val="00DB6E03"/>
    <w:rsid w:val="00DB7113"/>
    <w:rsid w:val="00DC0103"/>
    <w:rsid w:val="00DC1E03"/>
    <w:rsid w:val="00DC1FBF"/>
    <w:rsid w:val="00DC23CC"/>
    <w:rsid w:val="00DC2EE0"/>
    <w:rsid w:val="00DC329E"/>
    <w:rsid w:val="00DC54E2"/>
    <w:rsid w:val="00DC5826"/>
    <w:rsid w:val="00DC7019"/>
    <w:rsid w:val="00DD033D"/>
    <w:rsid w:val="00DD03F7"/>
    <w:rsid w:val="00DD071D"/>
    <w:rsid w:val="00DD1002"/>
    <w:rsid w:val="00DD12BA"/>
    <w:rsid w:val="00DD48D2"/>
    <w:rsid w:val="00DD4E26"/>
    <w:rsid w:val="00DD4FF5"/>
    <w:rsid w:val="00DD7B7F"/>
    <w:rsid w:val="00DE0A07"/>
    <w:rsid w:val="00DE1161"/>
    <w:rsid w:val="00DE2A50"/>
    <w:rsid w:val="00DE369E"/>
    <w:rsid w:val="00DE4DEE"/>
    <w:rsid w:val="00DE56C4"/>
    <w:rsid w:val="00DE6B8D"/>
    <w:rsid w:val="00DE7286"/>
    <w:rsid w:val="00DF0E4C"/>
    <w:rsid w:val="00DF3509"/>
    <w:rsid w:val="00DF3E76"/>
    <w:rsid w:val="00DF4D3E"/>
    <w:rsid w:val="00DF6084"/>
    <w:rsid w:val="00DF6485"/>
    <w:rsid w:val="00DF67A1"/>
    <w:rsid w:val="00DF72C7"/>
    <w:rsid w:val="00DF733F"/>
    <w:rsid w:val="00DF7F19"/>
    <w:rsid w:val="00E001D1"/>
    <w:rsid w:val="00E0319D"/>
    <w:rsid w:val="00E03392"/>
    <w:rsid w:val="00E0475E"/>
    <w:rsid w:val="00E04FF5"/>
    <w:rsid w:val="00E05F46"/>
    <w:rsid w:val="00E066F0"/>
    <w:rsid w:val="00E10B29"/>
    <w:rsid w:val="00E11ABF"/>
    <w:rsid w:val="00E11E14"/>
    <w:rsid w:val="00E1209F"/>
    <w:rsid w:val="00E120D9"/>
    <w:rsid w:val="00E12F34"/>
    <w:rsid w:val="00E1377B"/>
    <w:rsid w:val="00E142AB"/>
    <w:rsid w:val="00E17EEA"/>
    <w:rsid w:val="00E214D0"/>
    <w:rsid w:val="00E21732"/>
    <w:rsid w:val="00E21E91"/>
    <w:rsid w:val="00E2249F"/>
    <w:rsid w:val="00E261A4"/>
    <w:rsid w:val="00E2629D"/>
    <w:rsid w:val="00E264EE"/>
    <w:rsid w:val="00E26E07"/>
    <w:rsid w:val="00E27F19"/>
    <w:rsid w:val="00E30518"/>
    <w:rsid w:val="00E3062A"/>
    <w:rsid w:val="00E316A7"/>
    <w:rsid w:val="00E32DF7"/>
    <w:rsid w:val="00E33C3D"/>
    <w:rsid w:val="00E348F8"/>
    <w:rsid w:val="00E3494B"/>
    <w:rsid w:val="00E3598C"/>
    <w:rsid w:val="00E421A3"/>
    <w:rsid w:val="00E424B9"/>
    <w:rsid w:val="00E43420"/>
    <w:rsid w:val="00E4349A"/>
    <w:rsid w:val="00E442B8"/>
    <w:rsid w:val="00E459E3"/>
    <w:rsid w:val="00E51B4B"/>
    <w:rsid w:val="00E53DF9"/>
    <w:rsid w:val="00E55373"/>
    <w:rsid w:val="00E55E96"/>
    <w:rsid w:val="00E56619"/>
    <w:rsid w:val="00E56CDB"/>
    <w:rsid w:val="00E571D4"/>
    <w:rsid w:val="00E57600"/>
    <w:rsid w:val="00E60729"/>
    <w:rsid w:val="00E616D5"/>
    <w:rsid w:val="00E62B3B"/>
    <w:rsid w:val="00E62E43"/>
    <w:rsid w:val="00E6336D"/>
    <w:rsid w:val="00E6493A"/>
    <w:rsid w:val="00E64CF5"/>
    <w:rsid w:val="00E6611D"/>
    <w:rsid w:val="00E66590"/>
    <w:rsid w:val="00E705AA"/>
    <w:rsid w:val="00E717A3"/>
    <w:rsid w:val="00E720EE"/>
    <w:rsid w:val="00E73DA3"/>
    <w:rsid w:val="00E7776A"/>
    <w:rsid w:val="00E779CE"/>
    <w:rsid w:val="00E8167B"/>
    <w:rsid w:val="00E83224"/>
    <w:rsid w:val="00E91229"/>
    <w:rsid w:val="00E93350"/>
    <w:rsid w:val="00E95F2C"/>
    <w:rsid w:val="00E96745"/>
    <w:rsid w:val="00E96DB2"/>
    <w:rsid w:val="00EA1DE0"/>
    <w:rsid w:val="00EA2664"/>
    <w:rsid w:val="00EA29D7"/>
    <w:rsid w:val="00EA3325"/>
    <w:rsid w:val="00EA3457"/>
    <w:rsid w:val="00EA4237"/>
    <w:rsid w:val="00EA430B"/>
    <w:rsid w:val="00EA7BED"/>
    <w:rsid w:val="00EB06CB"/>
    <w:rsid w:val="00EB2763"/>
    <w:rsid w:val="00EB4C65"/>
    <w:rsid w:val="00EB55C4"/>
    <w:rsid w:val="00EB627B"/>
    <w:rsid w:val="00EB749B"/>
    <w:rsid w:val="00EB74C7"/>
    <w:rsid w:val="00EC1981"/>
    <w:rsid w:val="00EC1D8C"/>
    <w:rsid w:val="00EC1F63"/>
    <w:rsid w:val="00EC2451"/>
    <w:rsid w:val="00EC2F6C"/>
    <w:rsid w:val="00EC3B36"/>
    <w:rsid w:val="00EC3C66"/>
    <w:rsid w:val="00EC47DC"/>
    <w:rsid w:val="00EC4935"/>
    <w:rsid w:val="00EC4B6A"/>
    <w:rsid w:val="00EC6551"/>
    <w:rsid w:val="00EC78A1"/>
    <w:rsid w:val="00ED0C3D"/>
    <w:rsid w:val="00ED160F"/>
    <w:rsid w:val="00ED1B44"/>
    <w:rsid w:val="00ED24D1"/>
    <w:rsid w:val="00ED43AB"/>
    <w:rsid w:val="00ED4AE9"/>
    <w:rsid w:val="00ED52FA"/>
    <w:rsid w:val="00ED54CB"/>
    <w:rsid w:val="00ED5BAC"/>
    <w:rsid w:val="00ED5BC1"/>
    <w:rsid w:val="00ED6EB2"/>
    <w:rsid w:val="00ED6F9E"/>
    <w:rsid w:val="00EE1383"/>
    <w:rsid w:val="00EE1915"/>
    <w:rsid w:val="00EE2499"/>
    <w:rsid w:val="00EE34D3"/>
    <w:rsid w:val="00EE5498"/>
    <w:rsid w:val="00EE7257"/>
    <w:rsid w:val="00EF178E"/>
    <w:rsid w:val="00EF283B"/>
    <w:rsid w:val="00EF3689"/>
    <w:rsid w:val="00EF37E3"/>
    <w:rsid w:val="00EF65A9"/>
    <w:rsid w:val="00F014F2"/>
    <w:rsid w:val="00F018D0"/>
    <w:rsid w:val="00F0274E"/>
    <w:rsid w:val="00F053B9"/>
    <w:rsid w:val="00F05535"/>
    <w:rsid w:val="00F10B80"/>
    <w:rsid w:val="00F122F1"/>
    <w:rsid w:val="00F13772"/>
    <w:rsid w:val="00F14476"/>
    <w:rsid w:val="00F2118A"/>
    <w:rsid w:val="00F2663C"/>
    <w:rsid w:val="00F27AB6"/>
    <w:rsid w:val="00F3017E"/>
    <w:rsid w:val="00F3191B"/>
    <w:rsid w:val="00F324AB"/>
    <w:rsid w:val="00F32FFD"/>
    <w:rsid w:val="00F3412C"/>
    <w:rsid w:val="00F34A30"/>
    <w:rsid w:val="00F35EE2"/>
    <w:rsid w:val="00F36763"/>
    <w:rsid w:val="00F37298"/>
    <w:rsid w:val="00F37B32"/>
    <w:rsid w:val="00F410EB"/>
    <w:rsid w:val="00F429C0"/>
    <w:rsid w:val="00F42C43"/>
    <w:rsid w:val="00F44DA6"/>
    <w:rsid w:val="00F462A3"/>
    <w:rsid w:val="00F46771"/>
    <w:rsid w:val="00F506BC"/>
    <w:rsid w:val="00F507E7"/>
    <w:rsid w:val="00F508BE"/>
    <w:rsid w:val="00F50FB4"/>
    <w:rsid w:val="00F51019"/>
    <w:rsid w:val="00F5397C"/>
    <w:rsid w:val="00F54802"/>
    <w:rsid w:val="00F61A34"/>
    <w:rsid w:val="00F61ADC"/>
    <w:rsid w:val="00F61CD5"/>
    <w:rsid w:val="00F63BAA"/>
    <w:rsid w:val="00F64F1C"/>
    <w:rsid w:val="00F66989"/>
    <w:rsid w:val="00F67045"/>
    <w:rsid w:val="00F709D0"/>
    <w:rsid w:val="00F71105"/>
    <w:rsid w:val="00F71790"/>
    <w:rsid w:val="00F743AF"/>
    <w:rsid w:val="00F747EC"/>
    <w:rsid w:val="00F76A36"/>
    <w:rsid w:val="00F76B56"/>
    <w:rsid w:val="00F776AA"/>
    <w:rsid w:val="00F77F9B"/>
    <w:rsid w:val="00F824DA"/>
    <w:rsid w:val="00F82AA3"/>
    <w:rsid w:val="00F82E59"/>
    <w:rsid w:val="00F85011"/>
    <w:rsid w:val="00F86DB2"/>
    <w:rsid w:val="00F9008C"/>
    <w:rsid w:val="00F906A1"/>
    <w:rsid w:val="00F90A48"/>
    <w:rsid w:val="00F956B4"/>
    <w:rsid w:val="00F962F2"/>
    <w:rsid w:val="00F96780"/>
    <w:rsid w:val="00F96EF2"/>
    <w:rsid w:val="00F97516"/>
    <w:rsid w:val="00F97AD5"/>
    <w:rsid w:val="00FA0C4B"/>
    <w:rsid w:val="00FA0D0E"/>
    <w:rsid w:val="00FA5057"/>
    <w:rsid w:val="00FB08DA"/>
    <w:rsid w:val="00FB14D7"/>
    <w:rsid w:val="00FB19EF"/>
    <w:rsid w:val="00FB2179"/>
    <w:rsid w:val="00FB50AB"/>
    <w:rsid w:val="00FB5A9C"/>
    <w:rsid w:val="00FB74D6"/>
    <w:rsid w:val="00FB784B"/>
    <w:rsid w:val="00FC0391"/>
    <w:rsid w:val="00FC07A0"/>
    <w:rsid w:val="00FC1312"/>
    <w:rsid w:val="00FC2AE2"/>
    <w:rsid w:val="00FC3782"/>
    <w:rsid w:val="00FC4104"/>
    <w:rsid w:val="00FC4BF2"/>
    <w:rsid w:val="00FC5817"/>
    <w:rsid w:val="00FC74C1"/>
    <w:rsid w:val="00FD0826"/>
    <w:rsid w:val="00FD3683"/>
    <w:rsid w:val="00FD419C"/>
    <w:rsid w:val="00FD4BC5"/>
    <w:rsid w:val="00FD5426"/>
    <w:rsid w:val="00FD5DDE"/>
    <w:rsid w:val="00FD603D"/>
    <w:rsid w:val="00FD6556"/>
    <w:rsid w:val="00FD699B"/>
    <w:rsid w:val="00FD7562"/>
    <w:rsid w:val="00FE1182"/>
    <w:rsid w:val="00FE23F2"/>
    <w:rsid w:val="00FE34AF"/>
    <w:rsid w:val="00FE438C"/>
    <w:rsid w:val="00FE5894"/>
    <w:rsid w:val="00FE73B5"/>
    <w:rsid w:val="00FF04CB"/>
    <w:rsid w:val="00FF0D68"/>
    <w:rsid w:val="00FF134F"/>
    <w:rsid w:val="00FF21A2"/>
    <w:rsid w:val="00FF2297"/>
    <w:rsid w:val="00FF28B2"/>
    <w:rsid w:val="00FF29D1"/>
    <w:rsid w:val="00FF3007"/>
    <w:rsid w:val="00FF646D"/>
    <w:rsid w:val="00FF778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B2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E0D37"/>
    <w:pPr>
      <w:spacing w:after="0" w:line="240" w:lineRule="auto"/>
    </w:pPr>
    <w:rPr>
      <w:rFonts w:ascii="Times New Roman" w:eastAsia="Times New Roman" w:hAnsi="Times New Roman" w:cs="Times New Roman"/>
      <w:sz w:val="24"/>
      <w:szCs w:val="24"/>
      <w:lang w:eastAsia="en-GB"/>
    </w:rPr>
  </w:style>
  <w:style w:type="paragraph" w:styleId="Otsikko1">
    <w:name w:val="heading 1"/>
    <w:basedOn w:val="Normaali"/>
    <w:next w:val="Normaali"/>
    <w:link w:val="Otsikko1Char"/>
    <w:qFormat/>
    <w:rsid w:val="00BE62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nhideWhenUsed/>
    <w:qFormat/>
    <w:rsid w:val="00037F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qFormat/>
    <w:rsid w:val="00FF134F"/>
    <w:pPr>
      <w:keepNext/>
      <w:ind w:left="180"/>
      <w:jc w:val="both"/>
      <w:outlineLvl w:val="2"/>
    </w:pPr>
    <w:rPr>
      <w:u w:val="single"/>
    </w:rPr>
  </w:style>
  <w:style w:type="paragraph" w:styleId="Otsikko4">
    <w:name w:val="heading 4"/>
    <w:basedOn w:val="Normaali"/>
    <w:next w:val="Normaali"/>
    <w:link w:val="Otsikko4Char"/>
    <w:qFormat/>
    <w:rsid w:val="00FF134F"/>
    <w:pPr>
      <w:keepNext/>
      <w:jc w:val="both"/>
      <w:outlineLvl w:val="3"/>
    </w:pPr>
    <w:rPr>
      <w:u w:val="single"/>
    </w:rPr>
  </w:style>
  <w:style w:type="paragraph" w:styleId="Otsikko5">
    <w:name w:val="heading 5"/>
    <w:basedOn w:val="Normaali"/>
    <w:next w:val="Normaali"/>
    <w:link w:val="Otsikko5Char"/>
    <w:qFormat/>
    <w:rsid w:val="00FF134F"/>
    <w:pPr>
      <w:keepNext/>
      <w:jc w:val="both"/>
      <w:outlineLvl w:val="4"/>
    </w:pPr>
    <w:rPr>
      <w:b/>
      <w:bCs/>
    </w:rPr>
  </w:style>
  <w:style w:type="paragraph" w:styleId="Otsikko6">
    <w:name w:val="heading 6"/>
    <w:basedOn w:val="Normaali"/>
    <w:next w:val="Normaali"/>
    <w:link w:val="Otsikko6Char"/>
    <w:qFormat/>
    <w:rsid w:val="00FF134F"/>
    <w:pPr>
      <w:keepNext/>
      <w:ind w:left="180"/>
      <w:jc w:val="both"/>
      <w:outlineLvl w:val="5"/>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unhideWhenUsed/>
    <w:rsid w:val="001320FD"/>
    <w:rPr>
      <w:rFonts w:ascii="Tahoma" w:hAnsi="Tahoma" w:cs="Tahoma"/>
      <w:sz w:val="16"/>
      <w:szCs w:val="16"/>
    </w:rPr>
  </w:style>
  <w:style w:type="character" w:customStyle="1" w:styleId="SelitetekstiChar">
    <w:name w:val="Seliteteksti Char"/>
    <w:basedOn w:val="Kappaleenoletusfontti"/>
    <w:link w:val="Seliteteksti"/>
    <w:uiPriority w:val="99"/>
    <w:rsid w:val="001320FD"/>
    <w:rPr>
      <w:rFonts w:ascii="Tahoma" w:eastAsia="Calibri" w:hAnsi="Tahoma" w:cs="Tahoma"/>
      <w:sz w:val="16"/>
      <w:szCs w:val="16"/>
      <w:lang w:val="pt-PT"/>
    </w:rPr>
  </w:style>
  <w:style w:type="paragraph" w:styleId="Yltunniste">
    <w:name w:val="header"/>
    <w:basedOn w:val="Normaali"/>
    <w:link w:val="YltunnisteChar"/>
    <w:uiPriority w:val="99"/>
    <w:unhideWhenUsed/>
    <w:rsid w:val="001320FD"/>
    <w:pPr>
      <w:tabs>
        <w:tab w:val="center" w:pos="4513"/>
        <w:tab w:val="right" w:pos="9026"/>
      </w:tabs>
    </w:pPr>
  </w:style>
  <w:style w:type="character" w:customStyle="1" w:styleId="YltunnisteChar">
    <w:name w:val="Ylätunniste Char"/>
    <w:basedOn w:val="Kappaleenoletusfontti"/>
    <w:link w:val="Yltunniste"/>
    <w:uiPriority w:val="99"/>
    <w:rsid w:val="001320FD"/>
    <w:rPr>
      <w:rFonts w:ascii="Verdana" w:eastAsia="Calibri" w:hAnsi="Verdana" w:cs="Times New Roman"/>
      <w:szCs w:val="24"/>
      <w:lang w:val="pt-PT"/>
    </w:rPr>
  </w:style>
  <w:style w:type="paragraph" w:styleId="Alatunniste">
    <w:name w:val="footer"/>
    <w:aliases w:val="Fußzeile Verdana 8p Regular,Mittelachse"/>
    <w:basedOn w:val="Normaali"/>
    <w:link w:val="AlatunnisteChar"/>
    <w:uiPriority w:val="99"/>
    <w:unhideWhenUsed/>
    <w:qFormat/>
    <w:rsid w:val="001320FD"/>
    <w:pPr>
      <w:tabs>
        <w:tab w:val="center" w:pos="4513"/>
        <w:tab w:val="right" w:pos="9026"/>
      </w:tabs>
    </w:pPr>
  </w:style>
  <w:style w:type="character" w:customStyle="1" w:styleId="AlatunnisteChar">
    <w:name w:val="Alatunniste Char"/>
    <w:aliases w:val="Fußzeile Verdana 8p Regular Char,Mittelachse Char"/>
    <w:basedOn w:val="Kappaleenoletusfontti"/>
    <w:link w:val="Alatunniste"/>
    <w:uiPriority w:val="99"/>
    <w:rsid w:val="001320FD"/>
    <w:rPr>
      <w:rFonts w:ascii="Verdana" w:eastAsia="Calibri" w:hAnsi="Verdana" w:cs="Times New Roman"/>
      <w:szCs w:val="24"/>
      <w:lang w:val="pt-PT"/>
    </w:rPr>
  </w:style>
  <w:style w:type="character" w:styleId="Hyperlinkki">
    <w:name w:val="Hyperlink"/>
    <w:uiPriority w:val="99"/>
    <w:rsid w:val="001320FD"/>
    <w:rPr>
      <w:rFonts w:cs="Times New Roman"/>
      <w:b/>
      <w:bCs/>
      <w:color w:val="0000FF"/>
      <w:u w:val="single"/>
    </w:rPr>
  </w:style>
  <w:style w:type="character" w:styleId="Kommentinviite">
    <w:name w:val="annotation reference"/>
    <w:uiPriority w:val="99"/>
    <w:rsid w:val="00784632"/>
    <w:rPr>
      <w:rFonts w:cs="Times New Roman"/>
      <w:sz w:val="16"/>
      <w:szCs w:val="16"/>
    </w:rPr>
  </w:style>
  <w:style w:type="paragraph" w:styleId="Kommentinteksti">
    <w:name w:val="annotation text"/>
    <w:basedOn w:val="Normaali"/>
    <w:link w:val="KommentintekstiChar"/>
    <w:uiPriority w:val="99"/>
    <w:rsid w:val="00784632"/>
    <w:pPr>
      <w:ind w:left="1066" w:hanging="357"/>
      <w:jc w:val="both"/>
    </w:pPr>
    <w:rPr>
      <w:sz w:val="20"/>
      <w:szCs w:val="20"/>
      <w:lang w:eastAsia="pt-PT"/>
    </w:rPr>
  </w:style>
  <w:style w:type="character" w:customStyle="1" w:styleId="KommentintekstiChar">
    <w:name w:val="Kommentin teksti Char"/>
    <w:basedOn w:val="Kappaleenoletusfontti"/>
    <w:link w:val="Kommentinteksti"/>
    <w:uiPriority w:val="99"/>
    <w:rsid w:val="00784632"/>
    <w:rPr>
      <w:rFonts w:ascii="Verdana" w:eastAsia="Calibri" w:hAnsi="Verdana" w:cs="Times New Roman"/>
      <w:sz w:val="20"/>
      <w:szCs w:val="20"/>
      <w:lang w:eastAsia="pt-PT"/>
    </w:rPr>
  </w:style>
  <w:style w:type="paragraph" w:styleId="Kommentinotsikko">
    <w:name w:val="annotation subject"/>
    <w:basedOn w:val="Kommentinteksti"/>
    <w:next w:val="Kommentinteksti"/>
    <w:link w:val="KommentinotsikkoChar"/>
    <w:uiPriority w:val="99"/>
    <w:unhideWhenUsed/>
    <w:rsid w:val="005E2AD4"/>
    <w:pPr>
      <w:ind w:left="0" w:firstLine="0"/>
      <w:jc w:val="left"/>
    </w:pPr>
    <w:rPr>
      <w:b/>
      <w:bCs/>
      <w:lang w:val="pt-PT" w:eastAsia="en-US"/>
    </w:rPr>
  </w:style>
  <w:style w:type="character" w:customStyle="1" w:styleId="KommentinotsikkoChar">
    <w:name w:val="Kommentin otsikko Char"/>
    <w:basedOn w:val="KommentintekstiChar"/>
    <w:link w:val="Kommentinotsikko"/>
    <w:uiPriority w:val="99"/>
    <w:rsid w:val="005E2AD4"/>
    <w:rPr>
      <w:rFonts w:ascii="Verdana" w:eastAsia="Calibri" w:hAnsi="Verdana" w:cs="Times New Roman"/>
      <w:b/>
      <w:bCs/>
      <w:sz w:val="20"/>
      <w:szCs w:val="20"/>
      <w:lang w:val="pt-PT" w:eastAsia="pt-PT"/>
    </w:rPr>
  </w:style>
  <w:style w:type="paragraph" w:styleId="Luettelokappale">
    <w:name w:val="List Paragraph"/>
    <w:basedOn w:val="Normaali"/>
    <w:link w:val="LuettelokappaleChar"/>
    <w:uiPriority w:val="34"/>
    <w:qFormat/>
    <w:rsid w:val="006A3816"/>
    <w:pPr>
      <w:ind w:left="720"/>
      <w:contextualSpacing/>
    </w:pPr>
  </w:style>
  <w:style w:type="paragraph" w:styleId="Alaviitteenteksti">
    <w:name w:val="footnote text"/>
    <w:aliases w:val="Footnote Text Char1,Footnote Text Char Char,Fußnotentext Char Char Char,Fußnotentext Char1 Char Char Char,Fußnotentext Char Char Char Char Char,Fußnotentext Char1 Char Char Char Char Char,Verdana 8p Regular Foot,Fußno"/>
    <w:basedOn w:val="Normaali"/>
    <w:link w:val="AlaviitteentekstiChar"/>
    <w:qFormat/>
    <w:rsid w:val="00415A64"/>
    <w:rPr>
      <w:sz w:val="20"/>
      <w:szCs w:val="20"/>
    </w:rPr>
  </w:style>
  <w:style w:type="character" w:customStyle="1" w:styleId="AlaviitteentekstiChar">
    <w:name w:val="Alaviitteen teksti Char"/>
    <w:aliases w:val="Footnote Text Char1 Char,Footnote Text Char Char Char,Fußnotentext Char Char Char Char,Fußnotentext Char1 Char Char Char Char,Fußnotentext Char Char Char Char Char Char,Fußnotentext Char1 Char Char Char Char Char Char,Fußno Char"/>
    <w:basedOn w:val="Kappaleenoletusfontti"/>
    <w:link w:val="Alaviitteenteksti"/>
    <w:rsid w:val="00415A64"/>
    <w:rPr>
      <w:rFonts w:ascii="Verdana" w:eastAsia="Calibri" w:hAnsi="Verdana" w:cs="Times New Roman"/>
      <w:sz w:val="20"/>
      <w:szCs w:val="20"/>
      <w:lang w:val="pt-PT"/>
    </w:rPr>
  </w:style>
  <w:style w:type="character" w:styleId="Alaviitteenviite">
    <w:name w:val="footnote reference"/>
    <w:aliases w:val="Verdana 11p Regular,hochgestellt,Footnote Reference Number,Footnote Reference_LVL6,Footnote Reference_LVL61,Footnote Reference_LVL62,Footnote Reference_LVL63,Footnote Reference_LVL64,Fußnotenzeichen3,16 Point,Superscript 6 Point"/>
    <w:qFormat/>
    <w:rsid w:val="00415A64"/>
    <w:rPr>
      <w:rFonts w:cs="Times New Roman"/>
      <w:vertAlign w:val="superscript"/>
    </w:rPr>
  </w:style>
  <w:style w:type="paragraph" w:customStyle="1" w:styleId="Titrearticle">
    <w:name w:val="Titre article"/>
    <w:basedOn w:val="Normaali"/>
    <w:next w:val="Normaali"/>
    <w:rsid w:val="00184026"/>
    <w:pPr>
      <w:keepNext/>
      <w:spacing w:before="360"/>
      <w:jc w:val="center"/>
    </w:pPr>
    <w:rPr>
      <w:i/>
      <w:lang w:eastAsia="de-DE"/>
    </w:rPr>
  </w:style>
  <w:style w:type="paragraph" w:customStyle="1" w:styleId="Fait">
    <w:name w:val="Fait à"/>
    <w:basedOn w:val="Normaali"/>
    <w:next w:val="Institutionquisigne"/>
    <w:rsid w:val="00184026"/>
    <w:pPr>
      <w:keepNext/>
      <w:jc w:val="both"/>
    </w:pPr>
    <w:rPr>
      <w:lang w:eastAsia="de-DE"/>
    </w:rPr>
  </w:style>
  <w:style w:type="paragraph" w:customStyle="1" w:styleId="Institutionquisigne">
    <w:name w:val="Institution qui signe"/>
    <w:basedOn w:val="Normaali"/>
    <w:next w:val="Normaali"/>
    <w:rsid w:val="00184026"/>
    <w:pPr>
      <w:keepNext/>
      <w:tabs>
        <w:tab w:val="left" w:pos="4252"/>
      </w:tabs>
      <w:spacing w:before="720"/>
      <w:jc w:val="both"/>
    </w:pPr>
    <w:rPr>
      <w:i/>
      <w:lang w:eastAsia="de-DE"/>
    </w:rPr>
  </w:style>
  <w:style w:type="paragraph" w:customStyle="1" w:styleId="Default">
    <w:name w:val="Default"/>
    <w:uiPriority w:val="99"/>
    <w:rsid w:val="00184026"/>
    <w:pPr>
      <w:autoSpaceDE w:val="0"/>
      <w:autoSpaceDN w:val="0"/>
      <w:adjustRightInd w:val="0"/>
      <w:spacing w:after="0" w:line="240" w:lineRule="auto"/>
    </w:pPr>
    <w:rPr>
      <w:rFonts w:ascii="EUAlbertina" w:hAnsi="EUAlbertina" w:cs="EUAlbertina"/>
      <w:color w:val="000000"/>
      <w:sz w:val="24"/>
      <w:szCs w:val="24"/>
    </w:rPr>
  </w:style>
  <w:style w:type="paragraph" w:customStyle="1" w:styleId="NumPar1">
    <w:name w:val="NumPar 1"/>
    <w:basedOn w:val="Normaali"/>
    <w:next w:val="Normaali"/>
    <w:rsid w:val="009811D4"/>
    <w:pPr>
      <w:numPr>
        <w:numId w:val="1"/>
      </w:numPr>
    </w:pPr>
  </w:style>
  <w:style w:type="character" w:customStyle="1" w:styleId="DeltaViewInsertion">
    <w:name w:val="DeltaView Insertion"/>
    <w:rsid w:val="00452194"/>
    <w:rPr>
      <w:color w:val="0000FF"/>
      <w:u w:val="double"/>
    </w:rPr>
  </w:style>
  <w:style w:type="paragraph" w:styleId="Muutos">
    <w:name w:val="Revision"/>
    <w:hidden/>
    <w:uiPriority w:val="99"/>
    <w:semiHidden/>
    <w:rsid w:val="00452194"/>
    <w:pPr>
      <w:spacing w:after="0" w:line="240" w:lineRule="auto"/>
    </w:pPr>
    <w:rPr>
      <w:rFonts w:ascii="Verdana" w:eastAsia="Calibri" w:hAnsi="Verdana" w:cs="Times New Roman"/>
      <w:szCs w:val="24"/>
      <w:lang w:val="pt-PT"/>
    </w:rPr>
  </w:style>
  <w:style w:type="paragraph" w:customStyle="1" w:styleId="Lijstalinea">
    <w:name w:val="Lijstalinea"/>
    <w:basedOn w:val="Normaali"/>
    <w:uiPriority w:val="34"/>
    <w:qFormat/>
    <w:rsid w:val="003A0927"/>
    <w:pPr>
      <w:spacing w:line="260" w:lineRule="atLeast"/>
      <w:ind w:left="720"/>
      <w:contextualSpacing/>
    </w:pPr>
    <w:rPr>
      <w:kern w:val="10"/>
      <w:sz w:val="20"/>
      <w:szCs w:val="20"/>
      <w:lang w:val="de-DE" w:eastAsia="de-DE"/>
    </w:rPr>
  </w:style>
  <w:style w:type="numbering" w:customStyle="1" w:styleId="Style1">
    <w:name w:val="Style1"/>
    <w:basedOn w:val="Eiluetteloa"/>
    <w:uiPriority w:val="99"/>
    <w:rsid w:val="001434D5"/>
    <w:pPr>
      <w:numPr>
        <w:numId w:val="2"/>
      </w:numPr>
    </w:pPr>
  </w:style>
  <w:style w:type="table" w:customStyle="1" w:styleId="TableGrid1">
    <w:name w:val="Table Grid1"/>
    <w:basedOn w:val="Normaalitaulukko"/>
    <w:next w:val="TaulukkoRuudukko"/>
    <w:uiPriority w:val="59"/>
    <w:rsid w:val="00BE62E0"/>
    <w:pPr>
      <w:spacing w:after="0" w:line="240" w:lineRule="auto"/>
    </w:pPr>
    <w:rPr>
      <w:rFonts w:ascii="Verdana" w:eastAsia="Times New Roman" w:hAnsi="Verdana"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
    <w:name w:val="Table Grid"/>
    <w:basedOn w:val="Normaalitaulukko"/>
    <w:uiPriority w:val="59"/>
    <w:rsid w:val="00BE6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rsid w:val="00BE62E0"/>
    <w:rPr>
      <w:rFonts w:asciiTheme="majorHAnsi" w:eastAsiaTheme="majorEastAsia" w:hAnsiTheme="majorHAnsi" w:cstheme="majorBidi"/>
      <w:b/>
      <w:bCs/>
      <w:color w:val="365F91" w:themeColor="accent1" w:themeShade="BF"/>
      <w:sz w:val="28"/>
      <w:szCs w:val="28"/>
      <w:lang w:val="pt-PT"/>
    </w:rPr>
  </w:style>
  <w:style w:type="paragraph" w:styleId="Sisllysluettelonotsikko">
    <w:name w:val="TOC Heading"/>
    <w:basedOn w:val="Otsikko1"/>
    <w:next w:val="Normaali"/>
    <w:uiPriority w:val="39"/>
    <w:unhideWhenUsed/>
    <w:qFormat/>
    <w:rsid w:val="00BE62E0"/>
    <w:pPr>
      <w:spacing w:before="240" w:after="60"/>
      <w:jc w:val="both"/>
      <w:outlineLvl w:val="9"/>
    </w:pPr>
    <w:rPr>
      <w:rFonts w:ascii="Verdana" w:hAnsi="Verdana"/>
      <w:color w:val="auto"/>
      <w:szCs w:val="24"/>
      <w:lang w:val="en-US" w:eastAsia="ja-JP"/>
    </w:rPr>
  </w:style>
  <w:style w:type="paragraph" w:styleId="Sisluet1">
    <w:name w:val="toc 1"/>
    <w:basedOn w:val="Normaali"/>
    <w:next w:val="Normaali"/>
    <w:autoRedefine/>
    <w:unhideWhenUsed/>
    <w:rsid w:val="00BE62E0"/>
    <w:pPr>
      <w:tabs>
        <w:tab w:val="right" w:leader="dot" w:pos="9016"/>
      </w:tabs>
      <w:jc w:val="both"/>
    </w:pPr>
    <w:rPr>
      <w:rFonts w:eastAsiaTheme="minorHAnsi" w:cstheme="minorBidi"/>
      <w:b/>
      <w:noProof/>
      <w:sz w:val="20"/>
      <w:szCs w:val="20"/>
    </w:rPr>
  </w:style>
  <w:style w:type="character" w:customStyle="1" w:styleId="Bold">
    <w:name w:val="Bold"/>
    <w:basedOn w:val="Kappaleenoletusfontti"/>
    <w:uiPriority w:val="1"/>
    <w:qFormat/>
    <w:rsid w:val="00BE62E0"/>
    <w:rPr>
      <w:b/>
    </w:rPr>
  </w:style>
  <w:style w:type="character" w:customStyle="1" w:styleId="Regular">
    <w:name w:val="Regular"/>
    <w:basedOn w:val="Kappaleenoletusfontti"/>
    <w:uiPriority w:val="1"/>
    <w:qFormat/>
    <w:rsid w:val="00BE62E0"/>
  </w:style>
  <w:style w:type="paragraph" w:customStyle="1" w:styleId="Bulletpoints1">
    <w:name w:val="Bullet points1"/>
    <w:basedOn w:val="Merkittyluettelo"/>
    <w:qFormat/>
    <w:rsid w:val="00BE62E0"/>
  </w:style>
  <w:style w:type="paragraph" w:styleId="Merkittyluettelo">
    <w:name w:val="List Bullet"/>
    <w:basedOn w:val="Normaali"/>
    <w:uiPriority w:val="99"/>
    <w:semiHidden/>
    <w:unhideWhenUsed/>
    <w:rsid w:val="00BE62E0"/>
    <w:pPr>
      <w:numPr>
        <w:numId w:val="3"/>
      </w:numPr>
      <w:contextualSpacing/>
      <w:jc w:val="both"/>
    </w:pPr>
    <w:rPr>
      <w:rFonts w:eastAsiaTheme="minorHAnsi" w:cstheme="minorBidi"/>
      <w:szCs w:val="22"/>
    </w:rPr>
  </w:style>
  <w:style w:type="paragraph" w:customStyle="1" w:styleId="Regulationcenter">
    <w:name w:val="Regulation center"/>
    <w:basedOn w:val="Normaali"/>
    <w:qFormat/>
    <w:rsid w:val="00F956B4"/>
    <w:pPr>
      <w:keepNext/>
      <w:spacing w:before="360"/>
      <w:jc w:val="center"/>
    </w:pPr>
    <w:rPr>
      <w:color w:val="000000"/>
      <w:lang w:eastAsia="de-DE"/>
    </w:rPr>
  </w:style>
  <w:style w:type="paragraph" w:customStyle="1" w:styleId="BoxText">
    <w:name w:val="Box Text"/>
    <w:basedOn w:val="Normaali"/>
    <w:qFormat/>
    <w:rsid w:val="00E2249F"/>
    <w:pPr>
      <w:pBdr>
        <w:top w:val="single" w:sz="4" w:space="10" w:color="D0E7F6"/>
        <w:left w:val="single" w:sz="4" w:space="8" w:color="D0E7F6"/>
        <w:bottom w:val="single" w:sz="4" w:space="10" w:color="D0E7F6"/>
        <w:right w:val="single" w:sz="4" w:space="8" w:color="D0E7F6"/>
      </w:pBdr>
      <w:shd w:val="clear" w:color="auto" w:fill="D0E7F6"/>
      <w:ind w:left="227" w:right="170"/>
      <w:jc w:val="both"/>
    </w:pPr>
    <w:rPr>
      <w:rFonts w:eastAsia="MS Mincho"/>
      <w:szCs w:val="22"/>
      <w:lang w:val="de-DE" w:eastAsia="de-DE"/>
    </w:rPr>
  </w:style>
  <w:style w:type="character" w:customStyle="1" w:styleId="BoldUnderlined">
    <w:name w:val="Bold Underlined"/>
    <w:basedOn w:val="Kappaleenoletusfontti"/>
    <w:uiPriority w:val="1"/>
    <w:qFormat/>
    <w:rsid w:val="00E2249F"/>
    <w:rPr>
      <w:b/>
      <w:u w:val="single"/>
    </w:rPr>
  </w:style>
  <w:style w:type="paragraph" w:customStyle="1" w:styleId="Bulletpoints3">
    <w:name w:val="Bullet points3"/>
    <w:basedOn w:val="Normaali"/>
    <w:qFormat/>
    <w:rsid w:val="00344798"/>
    <w:pPr>
      <w:numPr>
        <w:numId w:val="4"/>
      </w:numPr>
      <w:ind w:right="170"/>
      <w:jc w:val="both"/>
    </w:pPr>
    <w:rPr>
      <w:rFonts w:eastAsia="MS Mincho"/>
      <w:szCs w:val="22"/>
      <w:lang w:val="de-DE" w:eastAsia="de-DE"/>
    </w:rPr>
  </w:style>
  <w:style w:type="character" w:customStyle="1" w:styleId="Otsikko2Char">
    <w:name w:val="Otsikko 2 Char"/>
    <w:basedOn w:val="Kappaleenoletusfontti"/>
    <w:link w:val="Otsikko2"/>
    <w:rsid w:val="00037FF8"/>
    <w:rPr>
      <w:rFonts w:asciiTheme="majorHAnsi" w:eastAsiaTheme="majorEastAsia" w:hAnsiTheme="majorHAnsi" w:cstheme="majorBidi"/>
      <w:b/>
      <w:bCs/>
      <w:color w:val="4F81BD" w:themeColor="accent1"/>
      <w:sz w:val="26"/>
      <w:szCs w:val="26"/>
      <w:lang w:val="pt-PT"/>
    </w:rPr>
  </w:style>
  <w:style w:type="character" w:styleId="Korostus">
    <w:name w:val="Emphasis"/>
    <w:uiPriority w:val="20"/>
    <w:qFormat/>
    <w:rsid w:val="006B29E2"/>
    <w:rPr>
      <w:i/>
      <w:iCs/>
    </w:rPr>
  </w:style>
  <w:style w:type="character" w:styleId="Voimakas">
    <w:name w:val="Strong"/>
    <w:uiPriority w:val="22"/>
    <w:qFormat/>
    <w:rsid w:val="006B29E2"/>
    <w:rPr>
      <w:b/>
      <w:bCs/>
    </w:rPr>
  </w:style>
  <w:style w:type="paragraph" w:styleId="Sisluet2">
    <w:name w:val="toc 2"/>
    <w:basedOn w:val="Normaali"/>
    <w:next w:val="Normaali"/>
    <w:autoRedefine/>
    <w:unhideWhenUsed/>
    <w:rsid w:val="00AB0FD3"/>
    <w:pPr>
      <w:spacing w:after="100"/>
      <w:ind w:left="220"/>
    </w:pPr>
  </w:style>
  <w:style w:type="character" w:customStyle="1" w:styleId="Otsikko3Char">
    <w:name w:val="Otsikko 3 Char"/>
    <w:basedOn w:val="Kappaleenoletusfontti"/>
    <w:link w:val="Otsikko3"/>
    <w:rsid w:val="00FF134F"/>
    <w:rPr>
      <w:rFonts w:ascii="Times New Roman" w:eastAsia="Times New Roman" w:hAnsi="Times New Roman" w:cs="Times New Roman"/>
      <w:sz w:val="24"/>
      <w:szCs w:val="24"/>
      <w:u w:val="single"/>
      <w:lang w:eastAsia="en-GB"/>
    </w:rPr>
  </w:style>
  <w:style w:type="character" w:customStyle="1" w:styleId="Otsikko4Char">
    <w:name w:val="Otsikko 4 Char"/>
    <w:basedOn w:val="Kappaleenoletusfontti"/>
    <w:link w:val="Otsikko4"/>
    <w:rsid w:val="00FF134F"/>
    <w:rPr>
      <w:rFonts w:ascii="Times New Roman" w:eastAsia="Times New Roman" w:hAnsi="Times New Roman" w:cs="Times New Roman"/>
      <w:sz w:val="24"/>
      <w:szCs w:val="24"/>
      <w:u w:val="single"/>
      <w:lang w:eastAsia="en-GB"/>
    </w:rPr>
  </w:style>
  <w:style w:type="character" w:customStyle="1" w:styleId="Otsikko5Char">
    <w:name w:val="Otsikko 5 Char"/>
    <w:basedOn w:val="Kappaleenoletusfontti"/>
    <w:link w:val="Otsikko5"/>
    <w:rsid w:val="00FF134F"/>
    <w:rPr>
      <w:rFonts w:ascii="Times New Roman" w:eastAsia="Times New Roman" w:hAnsi="Times New Roman" w:cs="Times New Roman"/>
      <w:b/>
      <w:bCs/>
      <w:sz w:val="24"/>
      <w:szCs w:val="24"/>
      <w:lang w:eastAsia="en-GB"/>
    </w:rPr>
  </w:style>
  <w:style w:type="character" w:customStyle="1" w:styleId="Otsikko6Char">
    <w:name w:val="Otsikko 6 Char"/>
    <w:basedOn w:val="Kappaleenoletusfontti"/>
    <w:link w:val="Otsikko6"/>
    <w:rsid w:val="00FF134F"/>
    <w:rPr>
      <w:rFonts w:ascii="Times New Roman" w:eastAsia="Times New Roman" w:hAnsi="Times New Roman" w:cs="Times New Roman"/>
      <w:b/>
      <w:bCs/>
      <w:sz w:val="24"/>
      <w:szCs w:val="24"/>
      <w:lang w:eastAsia="en-GB"/>
    </w:rPr>
  </w:style>
  <w:style w:type="paragraph" w:customStyle="1" w:styleId="Char1CharCharCharCharChar">
    <w:name w:val="Char1 Char Char Char Char Char"/>
    <w:basedOn w:val="Normaali"/>
    <w:rsid w:val="00FF134F"/>
    <w:pPr>
      <w:spacing w:after="160" w:line="240" w:lineRule="exact"/>
    </w:pPr>
    <w:rPr>
      <w:rFonts w:ascii="Arial" w:hAnsi="Arial"/>
      <w:sz w:val="20"/>
      <w:szCs w:val="20"/>
      <w:lang w:val="en-US"/>
    </w:rPr>
  </w:style>
  <w:style w:type="character" w:styleId="Sivunumero">
    <w:name w:val="page number"/>
    <w:aliases w:val="Seitenzahl Verdana 9p – Regular"/>
    <w:basedOn w:val="Kappaleenoletusfontti"/>
    <w:rsid w:val="00FF134F"/>
  </w:style>
  <w:style w:type="paragraph" w:styleId="Leipteksti">
    <w:name w:val="Body Text"/>
    <w:basedOn w:val="Normaali"/>
    <w:link w:val="LeiptekstiChar"/>
    <w:rsid w:val="00FF134F"/>
    <w:pPr>
      <w:jc w:val="both"/>
    </w:pPr>
  </w:style>
  <w:style w:type="character" w:customStyle="1" w:styleId="LeiptekstiChar">
    <w:name w:val="Leipäteksti Char"/>
    <w:basedOn w:val="Kappaleenoletusfontti"/>
    <w:link w:val="Leipteksti"/>
    <w:rsid w:val="00FF134F"/>
    <w:rPr>
      <w:rFonts w:ascii="Times New Roman" w:eastAsia="Times New Roman" w:hAnsi="Times New Roman" w:cs="Times New Roman"/>
      <w:sz w:val="24"/>
      <w:szCs w:val="24"/>
      <w:lang w:eastAsia="en-GB"/>
    </w:rPr>
  </w:style>
  <w:style w:type="paragraph" w:styleId="Sisennettyleipteksti">
    <w:name w:val="Body Text Indent"/>
    <w:basedOn w:val="Normaali"/>
    <w:link w:val="SisennettyleiptekstiChar"/>
    <w:rsid w:val="00FF134F"/>
    <w:pPr>
      <w:ind w:left="180"/>
      <w:jc w:val="both"/>
    </w:pPr>
    <w:rPr>
      <w:szCs w:val="22"/>
    </w:rPr>
  </w:style>
  <w:style w:type="character" w:customStyle="1" w:styleId="SisennettyleiptekstiChar">
    <w:name w:val="Sisennetty leipäteksti Char"/>
    <w:basedOn w:val="Kappaleenoletusfontti"/>
    <w:link w:val="Sisennettyleipteksti"/>
    <w:rsid w:val="00FF134F"/>
    <w:rPr>
      <w:rFonts w:ascii="Times New Roman" w:eastAsia="Times New Roman" w:hAnsi="Times New Roman" w:cs="Times New Roman"/>
      <w:sz w:val="24"/>
      <w:lang w:eastAsia="en-GB"/>
    </w:rPr>
  </w:style>
  <w:style w:type="paragraph" w:customStyle="1" w:styleId="Paragraphedeliste1">
    <w:name w:val="Paragraphe de liste1"/>
    <w:basedOn w:val="Normaali"/>
    <w:qFormat/>
    <w:rsid w:val="00FF134F"/>
    <w:pPr>
      <w:ind w:left="708"/>
    </w:pPr>
  </w:style>
  <w:style w:type="paragraph" w:customStyle="1" w:styleId="Rvision1">
    <w:name w:val="Révision1"/>
    <w:hidden/>
    <w:uiPriority w:val="99"/>
    <w:semiHidden/>
    <w:rsid w:val="00FF134F"/>
    <w:pPr>
      <w:spacing w:after="0" w:line="240" w:lineRule="auto"/>
    </w:pPr>
    <w:rPr>
      <w:rFonts w:ascii="Times New Roman" w:eastAsia="Times New Roman" w:hAnsi="Times New Roman" w:cs="Times New Roman"/>
      <w:sz w:val="24"/>
      <w:szCs w:val="24"/>
      <w:lang w:eastAsia="en-GB"/>
    </w:rPr>
  </w:style>
  <w:style w:type="paragraph" w:styleId="Sisluet3">
    <w:name w:val="toc 3"/>
    <w:basedOn w:val="Normaali"/>
    <w:next w:val="Normaali"/>
    <w:autoRedefine/>
    <w:rsid w:val="00FF134F"/>
    <w:pPr>
      <w:tabs>
        <w:tab w:val="right" w:leader="dot" w:pos="9072"/>
      </w:tabs>
      <w:ind w:left="482"/>
    </w:pPr>
    <w:rPr>
      <w:rFonts w:ascii="Arial" w:hAnsi="Arial" w:cs="Arial"/>
      <w:bCs/>
      <w:noProof/>
    </w:rPr>
  </w:style>
  <w:style w:type="character" w:customStyle="1" w:styleId="CharChar1">
    <w:name w:val="Char Char1"/>
    <w:semiHidden/>
    <w:rsid w:val="00FF134F"/>
    <w:rPr>
      <w:lang w:val="en-GB" w:eastAsia="en-GB" w:bidi="ar-SA"/>
    </w:rPr>
  </w:style>
  <w:style w:type="paragraph" w:customStyle="1" w:styleId="QISIndentCharCharChar">
    <w:name w:val="QISIndent Char Char Char"/>
    <w:basedOn w:val="Normaali"/>
    <w:rsid w:val="00FF134F"/>
    <w:pPr>
      <w:spacing w:after="240"/>
      <w:ind w:left="1134"/>
      <w:jc w:val="both"/>
    </w:pPr>
    <w:rPr>
      <w:rFonts w:eastAsia="MS Mincho"/>
      <w:szCs w:val="20"/>
      <w:lang w:eastAsia="ja-JP"/>
    </w:rPr>
  </w:style>
  <w:style w:type="paragraph" w:customStyle="1" w:styleId="StyleHeading2Arial14ptBefore12ptAfter3pt">
    <w:name w:val="Style Heading 2 + Arial 14 pt Before:  12 pt After:  3 pt"/>
    <w:basedOn w:val="Otsikko2"/>
    <w:rsid w:val="00FF134F"/>
    <w:pPr>
      <w:keepLines w:val="0"/>
      <w:spacing w:before="240" w:after="60"/>
    </w:pPr>
    <w:rPr>
      <w:rFonts w:ascii="Arial" w:eastAsia="Times New Roman" w:hAnsi="Arial" w:cs="Times New Roman"/>
      <w:color w:val="auto"/>
      <w:sz w:val="28"/>
      <w:szCs w:val="20"/>
    </w:rPr>
  </w:style>
  <w:style w:type="paragraph" w:customStyle="1" w:styleId="ListParagraph2">
    <w:name w:val="List Paragraph2"/>
    <w:basedOn w:val="Normaali"/>
    <w:uiPriority w:val="34"/>
    <w:qFormat/>
    <w:rsid w:val="00FF134F"/>
    <w:pPr>
      <w:spacing w:after="200" w:line="276" w:lineRule="auto"/>
      <w:ind w:left="720"/>
      <w:contextualSpacing/>
    </w:pPr>
    <w:rPr>
      <w:rFonts w:ascii="Calibri" w:hAnsi="Calibri"/>
      <w:szCs w:val="22"/>
    </w:rPr>
  </w:style>
  <w:style w:type="paragraph" w:styleId="NormaaliWWW">
    <w:name w:val="Normal (Web)"/>
    <w:basedOn w:val="Normaali"/>
    <w:uiPriority w:val="99"/>
    <w:rsid w:val="00FF134F"/>
  </w:style>
  <w:style w:type="paragraph" w:styleId="Eivli">
    <w:name w:val="No Spacing"/>
    <w:uiPriority w:val="1"/>
    <w:qFormat/>
    <w:rsid w:val="00FF134F"/>
    <w:pPr>
      <w:spacing w:after="0" w:line="240" w:lineRule="auto"/>
    </w:pPr>
    <w:rPr>
      <w:lang w:val="pl-PL"/>
    </w:rPr>
  </w:style>
  <w:style w:type="table" w:customStyle="1" w:styleId="Tabela-Siatka1">
    <w:name w:val="Tabela - Siatka1"/>
    <w:basedOn w:val="Normaalitaulukko"/>
    <w:next w:val="TaulukkoRuudukko"/>
    <w:uiPriority w:val="59"/>
    <w:rsid w:val="00FF1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ennettyleipteksti2">
    <w:name w:val="Body Text Indent 2"/>
    <w:basedOn w:val="Normaali"/>
    <w:link w:val="Sisennettyleipteksti2Char"/>
    <w:uiPriority w:val="99"/>
    <w:rsid w:val="00FF134F"/>
    <w:pPr>
      <w:spacing w:line="480" w:lineRule="auto"/>
      <w:ind w:left="283"/>
    </w:pPr>
  </w:style>
  <w:style w:type="character" w:customStyle="1" w:styleId="Sisennettyleipteksti2Char">
    <w:name w:val="Sisennetty leipäteksti 2 Char"/>
    <w:basedOn w:val="Kappaleenoletusfontti"/>
    <w:link w:val="Sisennettyleipteksti2"/>
    <w:uiPriority w:val="99"/>
    <w:rsid w:val="00FF134F"/>
    <w:rPr>
      <w:rFonts w:ascii="Times New Roman" w:eastAsia="Times New Roman" w:hAnsi="Times New Roman" w:cs="Times New Roman"/>
      <w:sz w:val="24"/>
      <w:szCs w:val="24"/>
      <w:lang w:eastAsia="en-GB"/>
    </w:rPr>
  </w:style>
  <w:style w:type="numbering" w:customStyle="1" w:styleId="NoList1">
    <w:name w:val="No List1"/>
    <w:next w:val="Eiluetteloa"/>
    <w:uiPriority w:val="99"/>
    <w:semiHidden/>
    <w:unhideWhenUsed/>
    <w:rsid w:val="000902FB"/>
  </w:style>
  <w:style w:type="table" w:customStyle="1" w:styleId="TableGrid2">
    <w:name w:val="Table Grid2"/>
    <w:basedOn w:val="Normaalitaulukko"/>
    <w:next w:val="TaulukkoRuudukko"/>
    <w:uiPriority w:val="59"/>
    <w:rsid w:val="000902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01">
    <w:name w:val="EmailStyle401"/>
    <w:semiHidden/>
    <w:rsid w:val="000902FB"/>
    <w:rPr>
      <w:rFonts w:ascii="Arial" w:hAnsi="Arial" w:cs="Arial"/>
      <w:color w:val="auto"/>
      <w:sz w:val="20"/>
      <w:szCs w:val="20"/>
    </w:rPr>
  </w:style>
  <w:style w:type="paragraph" w:customStyle="1" w:styleId="PargrafodaLista1">
    <w:name w:val="Parágrafo da Lista1"/>
    <w:basedOn w:val="Normaali"/>
    <w:uiPriority w:val="34"/>
    <w:qFormat/>
    <w:rsid w:val="000902FB"/>
    <w:pPr>
      <w:ind w:left="720"/>
    </w:pPr>
  </w:style>
  <w:style w:type="paragraph" w:customStyle="1" w:styleId="04fBodytextblue">
    <w:name w:val="04f_Body text blue"/>
    <w:basedOn w:val="Normaali"/>
    <w:rsid w:val="000902FB"/>
    <w:pPr>
      <w:pBdr>
        <w:bottom w:val="single" w:sz="4" w:space="12" w:color="283583"/>
      </w:pBdr>
      <w:spacing w:after="250" w:line="276" w:lineRule="auto"/>
      <w:jc w:val="both"/>
    </w:pPr>
    <w:rPr>
      <w:rFonts w:ascii="Georgia" w:hAnsi="Georgia"/>
      <w:color w:val="2D4190"/>
      <w:sz w:val="20"/>
      <w:lang w:eastAsia="de-DE"/>
    </w:rPr>
  </w:style>
  <w:style w:type="paragraph" w:customStyle="1" w:styleId="Datedadoption">
    <w:name w:val="Date d'adoption"/>
    <w:basedOn w:val="Normaali"/>
    <w:next w:val="Normaali"/>
    <w:rsid w:val="000902FB"/>
    <w:pPr>
      <w:spacing w:before="360"/>
      <w:jc w:val="center"/>
    </w:pPr>
    <w:rPr>
      <w:b/>
      <w:lang w:eastAsia="de-DE"/>
    </w:rPr>
  </w:style>
  <w:style w:type="paragraph" w:customStyle="1" w:styleId="Institutionquiagit">
    <w:name w:val="Institution qui agit"/>
    <w:basedOn w:val="Normaali"/>
    <w:next w:val="Normaali"/>
    <w:rsid w:val="000902FB"/>
    <w:pPr>
      <w:keepNext/>
      <w:spacing w:before="600"/>
      <w:jc w:val="both"/>
    </w:pPr>
    <w:rPr>
      <w:lang w:eastAsia="de-DE"/>
    </w:rPr>
  </w:style>
  <w:style w:type="paragraph" w:customStyle="1" w:styleId="Typedudocument">
    <w:name w:val="Type du document"/>
    <w:basedOn w:val="Normaali"/>
    <w:next w:val="Datedadoption"/>
    <w:rsid w:val="000902FB"/>
    <w:pPr>
      <w:spacing w:before="360"/>
      <w:jc w:val="center"/>
    </w:pPr>
    <w:rPr>
      <w:b/>
      <w:lang w:eastAsia="de-DE"/>
    </w:rPr>
  </w:style>
  <w:style w:type="paragraph" w:customStyle="1" w:styleId="Formuledadoption">
    <w:name w:val="Formule d'adoption"/>
    <w:basedOn w:val="Normaali"/>
    <w:next w:val="Normaali"/>
    <w:rsid w:val="000902FB"/>
    <w:pPr>
      <w:keepNext/>
      <w:jc w:val="both"/>
    </w:pPr>
    <w:rPr>
      <w:lang w:eastAsia="de-DE"/>
    </w:rPr>
  </w:style>
  <w:style w:type="paragraph" w:customStyle="1" w:styleId="Applicationdirecte">
    <w:name w:val="Application directe"/>
    <w:basedOn w:val="Normaali"/>
    <w:next w:val="Fait"/>
    <w:rsid w:val="000902FB"/>
    <w:pPr>
      <w:spacing w:before="480"/>
      <w:jc w:val="both"/>
    </w:pPr>
    <w:rPr>
      <w:lang w:eastAsia="de-DE"/>
    </w:rPr>
  </w:style>
  <w:style w:type="paragraph" w:customStyle="1" w:styleId="Personnequisigne">
    <w:name w:val="Personne qui signe"/>
    <w:basedOn w:val="Normaali"/>
    <w:next w:val="Institutionquisigne"/>
    <w:rsid w:val="000902FB"/>
    <w:pPr>
      <w:tabs>
        <w:tab w:val="left" w:pos="4252"/>
      </w:tabs>
    </w:pPr>
    <w:rPr>
      <w:i/>
      <w:lang w:eastAsia="de-DE"/>
    </w:rPr>
  </w:style>
  <w:style w:type="character" w:styleId="AvattuHyperlinkki">
    <w:name w:val="FollowedHyperlink"/>
    <w:uiPriority w:val="99"/>
    <w:rsid w:val="000902FB"/>
    <w:rPr>
      <w:color w:val="800080"/>
      <w:u w:val="single"/>
    </w:rPr>
  </w:style>
  <w:style w:type="paragraph" w:customStyle="1" w:styleId="Annexetitre">
    <w:name w:val="Annexe titre"/>
    <w:basedOn w:val="Normaali"/>
    <w:next w:val="Normaali"/>
    <w:rsid w:val="000902FB"/>
    <w:pPr>
      <w:jc w:val="center"/>
    </w:pPr>
    <w:rPr>
      <w:b/>
      <w:u w:val="single"/>
    </w:rPr>
  </w:style>
  <w:style w:type="paragraph" w:customStyle="1" w:styleId="AlineasCEIOPS">
    <w:name w:val="Alinea's CEIOPS"/>
    <w:basedOn w:val="Normaali"/>
    <w:link w:val="AlineasCEIOPSChar"/>
    <w:rsid w:val="000902FB"/>
    <w:pPr>
      <w:numPr>
        <w:numId w:val="6"/>
      </w:numPr>
      <w:ind w:left="567" w:hanging="567"/>
      <w:jc w:val="both"/>
    </w:pPr>
  </w:style>
  <w:style w:type="character" w:customStyle="1" w:styleId="AlineasCEIOPSChar">
    <w:name w:val="Alinea's CEIOPS Char"/>
    <w:link w:val="AlineasCEIOPS"/>
    <w:rsid w:val="000902FB"/>
    <w:rPr>
      <w:rFonts w:ascii="Times New Roman" w:eastAsia="Times New Roman" w:hAnsi="Times New Roman" w:cs="Times New Roman"/>
      <w:sz w:val="24"/>
      <w:szCs w:val="24"/>
      <w:lang w:eastAsia="en-GB"/>
    </w:rPr>
  </w:style>
  <w:style w:type="paragraph" w:customStyle="1" w:styleId="Reviso1">
    <w:name w:val="Revisão1"/>
    <w:hidden/>
    <w:uiPriority w:val="99"/>
    <w:semiHidden/>
    <w:rsid w:val="000902FB"/>
    <w:pPr>
      <w:spacing w:after="0" w:line="240" w:lineRule="auto"/>
    </w:pPr>
    <w:rPr>
      <w:rFonts w:ascii="Times New Roman" w:eastAsia="Times New Roman" w:hAnsi="Times New Roman" w:cs="Times New Roman"/>
      <w:sz w:val="24"/>
      <w:szCs w:val="24"/>
      <w:lang w:eastAsia="en-GB"/>
    </w:rPr>
  </w:style>
  <w:style w:type="paragraph" w:customStyle="1" w:styleId="Point2">
    <w:name w:val="Point 2"/>
    <w:basedOn w:val="Normaali"/>
    <w:rsid w:val="000902FB"/>
    <w:pPr>
      <w:ind w:left="1984" w:hanging="567"/>
      <w:jc w:val="both"/>
    </w:pPr>
    <w:rPr>
      <w:lang w:eastAsia="de-DE"/>
    </w:rPr>
  </w:style>
  <w:style w:type="paragraph" w:customStyle="1" w:styleId="Point3">
    <w:name w:val="Point 3"/>
    <w:basedOn w:val="Normaali"/>
    <w:rsid w:val="000902FB"/>
    <w:pPr>
      <w:ind w:left="2551" w:hanging="567"/>
      <w:jc w:val="both"/>
    </w:pPr>
    <w:rPr>
      <w:lang w:eastAsia="de-DE"/>
    </w:rPr>
  </w:style>
  <w:style w:type="paragraph" w:customStyle="1" w:styleId="ContinuousSquareBullet">
    <w:name w:val="Continuous Square Bullet"/>
    <w:basedOn w:val="Normaali"/>
    <w:uiPriority w:val="99"/>
    <w:rsid w:val="000902FB"/>
    <w:pPr>
      <w:numPr>
        <w:numId w:val="7"/>
      </w:numPr>
      <w:spacing w:after="280" w:line="280" w:lineRule="exact"/>
    </w:pPr>
    <w:rPr>
      <w:rFonts w:ascii="Arial" w:hAnsi="Arial" w:cs="Arial"/>
      <w:sz w:val="23"/>
      <w:szCs w:val="23"/>
    </w:rPr>
  </w:style>
  <w:style w:type="paragraph" w:customStyle="1" w:styleId="EP-ReferenznummerVerdana10pRegular">
    <w:name w:val="EP-Referenznummer Verdana 10p Regular"/>
    <w:basedOn w:val="Normaali"/>
    <w:qFormat/>
    <w:rsid w:val="000902FB"/>
    <w:pPr>
      <w:spacing w:after="2840"/>
      <w:jc w:val="right"/>
    </w:pPr>
    <w:rPr>
      <w:rFonts w:eastAsia="MS Mincho"/>
      <w:sz w:val="20"/>
      <w:szCs w:val="22"/>
      <w:lang w:val="de-DE" w:eastAsia="de-DE"/>
    </w:rPr>
  </w:style>
  <w:style w:type="paragraph" w:customStyle="1" w:styleId="Adviceonect24p">
    <w:name w:val="Advice on... ect. 24p"/>
    <w:basedOn w:val="Normaali"/>
    <w:next w:val="Normaali"/>
    <w:qFormat/>
    <w:rsid w:val="000902FB"/>
    <w:pPr>
      <w:pBdr>
        <w:top w:val="single" w:sz="4" w:space="25" w:color="D0E7F6"/>
        <w:left w:val="single" w:sz="4" w:space="8" w:color="D0E7F6"/>
        <w:bottom w:val="single" w:sz="4" w:space="30" w:color="D0E7F6"/>
        <w:right w:val="single" w:sz="4" w:space="8" w:color="D0E7F6"/>
      </w:pBdr>
      <w:shd w:val="clear" w:color="auto" w:fill="D0E7F6"/>
      <w:ind w:left="170" w:right="170"/>
      <w:jc w:val="center"/>
    </w:pPr>
    <w:rPr>
      <w:rFonts w:eastAsia="MS Mincho"/>
      <w:b/>
      <w:bCs/>
      <w:sz w:val="48"/>
      <w:szCs w:val="48"/>
      <w:lang w:val="de-DE" w:eastAsia="de-DE"/>
    </w:rPr>
  </w:style>
  <w:style w:type="paragraph" w:customStyle="1" w:styleId="Subjectxxx24p">
    <w:name w:val="Subject xxx 24p"/>
    <w:basedOn w:val="Normaali"/>
    <w:next w:val="Normaali"/>
    <w:qFormat/>
    <w:rsid w:val="000902FB"/>
    <w:pPr>
      <w:pBdr>
        <w:top w:val="single" w:sz="4" w:space="8" w:color="D0E7F6"/>
        <w:left w:val="single" w:sz="4" w:space="8" w:color="D0E7F6"/>
        <w:bottom w:val="single" w:sz="4" w:space="8" w:color="D0E7F6"/>
        <w:right w:val="single" w:sz="4" w:space="8" w:color="D0E7F6"/>
      </w:pBdr>
      <w:shd w:val="clear" w:color="auto" w:fill="D0E7F6"/>
      <w:ind w:left="170" w:right="170"/>
      <w:jc w:val="center"/>
    </w:pPr>
    <w:rPr>
      <w:rFonts w:eastAsia="MS Mincho"/>
      <w:b/>
      <w:bCs/>
      <w:sz w:val="48"/>
      <w:szCs w:val="48"/>
      <w:lang w:val="de-DE" w:eastAsia="de-DE"/>
    </w:rPr>
  </w:style>
  <w:style w:type="paragraph" w:customStyle="1" w:styleId="Pagedecouverture">
    <w:name w:val="Page de couverture"/>
    <w:basedOn w:val="Normaali"/>
    <w:next w:val="Normaali"/>
    <w:rsid w:val="000902FB"/>
    <w:pPr>
      <w:jc w:val="both"/>
    </w:pPr>
  </w:style>
  <w:style w:type="paragraph" w:customStyle="1" w:styleId="PlainText1">
    <w:name w:val="Plain Text1"/>
    <w:basedOn w:val="Normaali"/>
    <w:next w:val="Vaintekstin"/>
    <w:link w:val="PlainTextChar"/>
    <w:uiPriority w:val="99"/>
    <w:semiHidden/>
    <w:unhideWhenUsed/>
    <w:rsid w:val="000902FB"/>
    <w:rPr>
      <w:rFonts w:ascii="Calibri" w:hAnsi="Calibri" w:cs="Calibri"/>
      <w:szCs w:val="22"/>
    </w:rPr>
  </w:style>
  <w:style w:type="character" w:customStyle="1" w:styleId="PlainTextChar">
    <w:name w:val="Plain Text Char"/>
    <w:basedOn w:val="Kappaleenoletusfontti"/>
    <w:link w:val="PlainText1"/>
    <w:uiPriority w:val="99"/>
    <w:rsid w:val="000902FB"/>
    <w:rPr>
      <w:rFonts w:ascii="Calibri" w:eastAsia="Calibri" w:hAnsi="Calibri" w:cs="Calibri"/>
      <w:sz w:val="22"/>
      <w:szCs w:val="22"/>
      <w:lang w:val="en-GB" w:eastAsia="en-GB"/>
    </w:rPr>
  </w:style>
  <w:style w:type="paragraph" w:customStyle="1" w:styleId="Considrant">
    <w:name w:val="Considérant"/>
    <w:basedOn w:val="Normaali"/>
    <w:rsid w:val="000902FB"/>
    <w:pPr>
      <w:numPr>
        <w:numId w:val="8"/>
      </w:numPr>
      <w:jc w:val="both"/>
    </w:pPr>
  </w:style>
  <w:style w:type="numbering" w:customStyle="1" w:styleId="Style11">
    <w:name w:val="Style11"/>
    <w:basedOn w:val="Eiluetteloa"/>
    <w:uiPriority w:val="99"/>
    <w:rsid w:val="000902FB"/>
  </w:style>
  <w:style w:type="paragraph" w:customStyle="1" w:styleId="ListParagraph1">
    <w:name w:val="List Paragraph1"/>
    <w:basedOn w:val="Normaali"/>
    <w:qFormat/>
    <w:rsid w:val="000902FB"/>
    <w:pPr>
      <w:ind w:left="720"/>
    </w:pPr>
  </w:style>
  <w:style w:type="paragraph" w:customStyle="1" w:styleId="Listeafsnit1">
    <w:name w:val="Listeafsnit1"/>
    <w:basedOn w:val="Normaali"/>
    <w:rsid w:val="000902FB"/>
    <w:pPr>
      <w:ind w:left="720"/>
      <w:jc w:val="both"/>
    </w:pPr>
    <w:rPr>
      <w:szCs w:val="20"/>
      <w:lang w:val="fr-FR" w:eastAsia="fr-FR"/>
    </w:rPr>
  </w:style>
  <w:style w:type="character" w:customStyle="1" w:styleId="FootnoteCharacters">
    <w:name w:val="Footnote Characters"/>
    <w:rsid w:val="000902FB"/>
    <w:rPr>
      <w:vertAlign w:val="superscript"/>
    </w:rPr>
  </w:style>
  <w:style w:type="paragraph" w:customStyle="1" w:styleId="ManualConsidrant">
    <w:name w:val="Manual Considérant"/>
    <w:basedOn w:val="Normaali"/>
    <w:rsid w:val="000902FB"/>
    <w:pPr>
      <w:ind w:left="709" w:hanging="709"/>
      <w:jc w:val="both"/>
    </w:pPr>
    <w:rPr>
      <w:lang w:eastAsia="de-DE"/>
    </w:rPr>
  </w:style>
  <w:style w:type="paragraph" w:styleId="Asiakirjanrakenneruutu">
    <w:name w:val="Document Map"/>
    <w:basedOn w:val="Normaali"/>
    <w:link w:val="AsiakirjanrakenneruutuChar"/>
    <w:rsid w:val="000902FB"/>
    <w:rPr>
      <w:rFonts w:ascii="Tahoma" w:hAnsi="Tahoma" w:cs="Tahoma"/>
      <w:sz w:val="16"/>
      <w:szCs w:val="16"/>
    </w:rPr>
  </w:style>
  <w:style w:type="character" w:customStyle="1" w:styleId="AsiakirjanrakenneruutuChar">
    <w:name w:val="Asiakirjan rakenneruutu Char"/>
    <w:basedOn w:val="Kappaleenoletusfontti"/>
    <w:link w:val="Asiakirjanrakenneruutu"/>
    <w:rsid w:val="000902FB"/>
    <w:rPr>
      <w:rFonts w:ascii="Tahoma" w:eastAsia="Calibri" w:hAnsi="Tahoma" w:cs="Tahoma"/>
      <w:sz w:val="16"/>
      <w:szCs w:val="16"/>
      <w:lang w:eastAsia="en-GB"/>
    </w:rPr>
  </w:style>
  <w:style w:type="paragraph" w:styleId="Vaintekstin">
    <w:name w:val="Plain Text"/>
    <w:basedOn w:val="Normaali"/>
    <w:link w:val="VaintekstinChar"/>
    <w:uiPriority w:val="99"/>
    <w:unhideWhenUsed/>
    <w:rsid w:val="000902FB"/>
    <w:rPr>
      <w:rFonts w:ascii="Consolas" w:hAnsi="Consolas"/>
      <w:sz w:val="21"/>
      <w:szCs w:val="21"/>
    </w:rPr>
  </w:style>
  <w:style w:type="character" w:customStyle="1" w:styleId="VaintekstinChar">
    <w:name w:val="Vain tekstinä Char"/>
    <w:basedOn w:val="Kappaleenoletusfontti"/>
    <w:link w:val="Vaintekstin"/>
    <w:uiPriority w:val="99"/>
    <w:semiHidden/>
    <w:rsid w:val="000902FB"/>
    <w:rPr>
      <w:rFonts w:ascii="Consolas" w:eastAsia="Calibri" w:hAnsi="Consolas" w:cs="Times New Roman"/>
      <w:sz w:val="21"/>
      <w:szCs w:val="21"/>
      <w:lang w:val="pt-PT"/>
    </w:rPr>
  </w:style>
  <w:style w:type="numbering" w:customStyle="1" w:styleId="NoList2">
    <w:name w:val="No List2"/>
    <w:next w:val="Eiluetteloa"/>
    <w:uiPriority w:val="99"/>
    <w:semiHidden/>
    <w:unhideWhenUsed/>
    <w:rsid w:val="000902FB"/>
  </w:style>
  <w:style w:type="table" w:customStyle="1" w:styleId="TableGrid3">
    <w:name w:val="Table Grid3"/>
    <w:basedOn w:val="Normaalitaulukko"/>
    <w:next w:val="TaulukkoRuudukko"/>
    <w:uiPriority w:val="59"/>
    <w:rsid w:val="000902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Eiluetteloa"/>
    <w:uiPriority w:val="99"/>
    <w:rsid w:val="000902FB"/>
    <w:pPr>
      <w:numPr>
        <w:numId w:val="9"/>
      </w:numPr>
    </w:pPr>
  </w:style>
  <w:style w:type="numbering" w:customStyle="1" w:styleId="NoList3">
    <w:name w:val="No List3"/>
    <w:next w:val="Eiluetteloa"/>
    <w:uiPriority w:val="99"/>
    <w:semiHidden/>
    <w:unhideWhenUsed/>
    <w:rsid w:val="00A86315"/>
  </w:style>
  <w:style w:type="table" w:customStyle="1" w:styleId="TableGrid4">
    <w:name w:val="Table Grid4"/>
    <w:basedOn w:val="Normaalitaulukko"/>
    <w:next w:val="TaulukkoRuudukko"/>
    <w:uiPriority w:val="59"/>
    <w:rsid w:val="00A863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Eiluetteloa"/>
    <w:uiPriority w:val="99"/>
    <w:rsid w:val="00A86315"/>
  </w:style>
  <w:style w:type="numbering" w:customStyle="1" w:styleId="NoList4">
    <w:name w:val="No List4"/>
    <w:next w:val="Eiluetteloa"/>
    <w:uiPriority w:val="99"/>
    <w:semiHidden/>
    <w:unhideWhenUsed/>
    <w:rsid w:val="001A4529"/>
  </w:style>
  <w:style w:type="table" w:customStyle="1" w:styleId="TableGrid5">
    <w:name w:val="Table Grid5"/>
    <w:basedOn w:val="Normaalitaulukko"/>
    <w:next w:val="TaulukkoRuudukko"/>
    <w:rsid w:val="001A45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basedOn w:val="Eiluetteloa"/>
    <w:uiPriority w:val="99"/>
    <w:rsid w:val="001A4529"/>
  </w:style>
  <w:style w:type="numbering" w:customStyle="1" w:styleId="NoList5">
    <w:name w:val="No List5"/>
    <w:next w:val="Eiluetteloa"/>
    <w:uiPriority w:val="99"/>
    <w:semiHidden/>
    <w:unhideWhenUsed/>
    <w:rsid w:val="000D3CFF"/>
  </w:style>
  <w:style w:type="table" w:customStyle="1" w:styleId="TableGrid6">
    <w:name w:val="Table Grid6"/>
    <w:basedOn w:val="Normaalitaulukko"/>
    <w:next w:val="TaulukkoRuudukko"/>
    <w:rsid w:val="000D3C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
    <w:name w:val="Style15"/>
    <w:basedOn w:val="Eiluetteloa"/>
    <w:uiPriority w:val="99"/>
    <w:rsid w:val="000D3CFF"/>
  </w:style>
  <w:style w:type="paragraph" w:styleId="Otsikko">
    <w:name w:val="Title"/>
    <w:aliases w:val="Document Title,Title Cover"/>
    <w:basedOn w:val="Normaali"/>
    <w:link w:val="OtsikkoChar"/>
    <w:qFormat/>
    <w:rsid w:val="006C1A1F"/>
    <w:pPr>
      <w:spacing w:line="360" w:lineRule="auto"/>
      <w:jc w:val="center"/>
    </w:pPr>
    <w:rPr>
      <w:b/>
      <w:bCs/>
      <w:sz w:val="28"/>
      <w:szCs w:val="20"/>
      <w:u w:val="single"/>
      <w:lang w:val="en-IE"/>
    </w:rPr>
  </w:style>
  <w:style w:type="character" w:customStyle="1" w:styleId="OtsikkoChar">
    <w:name w:val="Otsikko Char"/>
    <w:aliases w:val="Document Title Char,Title Cover Char"/>
    <w:basedOn w:val="Kappaleenoletusfontti"/>
    <w:link w:val="Otsikko"/>
    <w:rsid w:val="006C1A1F"/>
    <w:rPr>
      <w:rFonts w:ascii="Times New Roman" w:eastAsia="Times New Roman" w:hAnsi="Times New Roman" w:cs="Times New Roman"/>
      <w:b/>
      <w:bCs/>
      <w:sz w:val="28"/>
      <w:szCs w:val="20"/>
      <w:u w:val="single"/>
      <w:lang w:val="en-IE"/>
    </w:rPr>
  </w:style>
  <w:style w:type="paragraph" w:customStyle="1" w:styleId="ReferenceNumber">
    <w:name w:val="Reference Number"/>
    <w:basedOn w:val="Normaali"/>
    <w:qFormat/>
    <w:rsid w:val="0003733C"/>
    <w:pPr>
      <w:tabs>
        <w:tab w:val="left" w:pos="1480"/>
      </w:tabs>
      <w:jc w:val="right"/>
    </w:pPr>
    <w:rPr>
      <w:rFonts w:eastAsiaTheme="minorHAnsi" w:cstheme="minorBidi"/>
      <w:sz w:val="20"/>
      <w:szCs w:val="20"/>
    </w:rPr>
  </w:style>
  <w:style w:type="paragraph" w:customStyle="1" w:styleId="DocumentSubtitle">
    <w:name w:val="Document Subtitle"/>
    <w:basedOn w:val="Otsikko1"/>
    <w:qFormat/>
    <w:rsid w:val="0003733C"/>
    <w:pPr>
      <w:spacing w:before="240" w:after="60"/>
      <w:jc w:val="center"/>
    </w:pPr>
    <w:rPr>
      <w:rFonts w:ascii="Verdana" w:hAnsi="Verdana"/>
      <w:color w:val="auto"/>
    </w:rPr>
  </w:style>
  <w:style w:type="character" w:customStyle="1" w:styleId="Style10">
    <w:name w:val="Style10"/>
    <w:basedOn w:val="Kappaleenoletusfontti"/>
    <w:uiPriority w:val="1"/>
    <w:rsid w:val="0003733C"/>
    <w:rPr>
      <w:color w:val="FF0000"/>
    </w:rPr>
  </w:style>
  <w:style w:type="paragraph" w:customStyle="1" w:styleId="ConsultationItalic">
    <w:name w:val="Consultation Italic"/>
    <w:basedOn w:val="Normaali"/>
    <w:rsid w:val="0003733C"/>
    <w:pPr>
      <w:numPr>
        <w:numId w:val="10"/>
      </w:numPr>
      <w:spacing w:line="276" w:lineRule="auto"/>
    </w:pPr>
    <w:rPr>
      <w:i/>
      <w:noProof/>
      <w:lang w:eastAsia="de-DE"/>
    </w:rPr>
  </w:style>
  <w:style w:type="paragraph" w:customStyle="1" w:styleId="Numberedparagraph">
    <w:name w:val="Numbered paragraph"/>
    <w:rsid w:val="007A75B6"/>
    <w:pPr>
      <w:numPr>
        <w:numId w:val="11"/>
      </w:numPr>
      <w:spacing w:after="240" w:line="280" w:lineRule="atLeast"/>
      <w:jc w:val="both"/>
    </w:pPr>
    <w:rPr>
      <w:rFonts w:ascii="Arial" w:eastAsia="Times New Roman" w:hAnsi="Arial" w:cs="Times New Roman"/>
      <w:szCs w:val="20"/>
    </w:rPr>
  </w:style>
  <w:style w:type="character" w:customStyle="1" w:styleId="super">
    <w:name w:val="super"/>
    <w:basedOn w:val="Kappaleenoletusfontti"/>
    <w:rsid w:val="00953548"/>
  </w:style>
  <w:style w:type="character" w:customStyle="1" w:styleId="apple-converted-space">
    <w:name w:val="apple-converted-space"/>
    <w:basedOn w:val="Kappaleenoletusfontti"/>
    <w:rsid w:val="00953548"/>
  </w:style>
  <w:style w:type="paragraph" w:customStyle="1" w:styleId="xl16824">
    <w:name w:val="xl16824"/>
    <w:basedOn w:val="Normaali"/>
    <w:rsid w:val="004769D4"/>
    <w:pPr>
      <w:shd w:val="clear" w:color="000000" w:fill="FFFFFF"/>
      <w:spacing w:before="100" w:beforeAutospacing="1" w:after="100" w:afterAutospacing="1"/>
      <w:textAlignment w:val="center"/>
    </w:pPr>
    <w:rPr>
      <w:b/>
      <w:bCs/>
    </w:rPr>
  </w:style>
  <w:style w:type="character" w:customStyle="1" w:styleId="Marker">
    <w:name w:val="Marker"/>
    <w:basedOn w:val="Kappaleenoletusfontti"/>
    <w:rsid w:val="00B922FE"/>
    <w:rPr>
      <w:color w:val="0000FF"/>
      <w:shd w:val="clear" w:color="auto" w:fill="auto"/>
    </w:rPr>
  </w:style>
  <w:style w:type="paragraph" w:customStyle="1" w:styleId="FooterCoverPage">
    <w:name w:val="Footer Cover Page"/>
    <w:basedOn w:val="Normaali"/>
    <w:link w:val="FooterCoverPageChar"/>
    <w:rsid w:val="00B922FE"/>
    <w:pPr>
      <w:tabs>
        <w:tab w:val="center" w:pos="4535"/>
        <w:tab w:val="right" w:pos="9071"/>
        <w:tab w:val="right" w:pos="9921"/>
      </w:tabs>
      <w:spacing w:before="360"/>
      <w:ind w:left="-850" w:right="-850"/>
    </w:pPr>
    <w:rPr>
      <w:noProof/>
      <w:color w:val="000000"/>
    </w:rPr>
  </w:style>
  <w:style w:type="character" w:customStyle="1" w:styleId="FooterCoverPageChar">
    <w:name w:val="Footer Cover Page Char"/>
    <w:basedOn w:val="Kappaleenoletusfontti"/>
    <w:link w:val="FooterCoverPage"/>
    <w:rsid w:val="00B922FE"/>
    <w:rPr>
      <w:rFonts w:ascii="Times New Roman" w:eastAsia="Times New Roman" w:hAnsi="Times New Roman" w:cs="Times New Roman"/>
      <w:noProof/>
      <w:color w:val="000000"/>
      <w:sz w:val="24"/>
      <w:szCs w:val="24"/>
    </w:rPr>
  </w:style>
  <w:style w:type="paragraph" w:customStyle="1" w:styleId="HeaderCoverPage">
    <w:name w:val="Header Cover Page"/>
    <w:basedOn w:val="Normaali"/>
    <w:link w:val="HeaderCoverPageChar"/>
    <w:rsid w:val="00B922FE"/>
    <w:pPr>
      <w:tabs>
        <w:tab w:val="center" w:pos="4535"/>
        <w:tab w:val="right" w:pos="9071"/>
      </w:tabs>
      <w:jc w:val="both"/>
    </w:pPr>
    <w:rPr>
      <w:noProof/>
      <w:color w:val="000000"/>
    </w:rPr>
  </w:style>
  <w:style w:type="character" w:customStyle="1" w:styleId="HeaderCoverPageChar">
    <w:name w:val="Header Cover Page Char"/>
    <w:basedOn w:val="Kappaleenoletusfontti"/>
    <w:link w:val="HeaderCoverPage"/>
    <w:rsid w:val="00B922FE"/>
    <w:rPr>
      <w:rFonts w:ascii="Times New Roman" w:eastAsia="Times New Roman" w:hAnsi="Times New Roman" w:cs="Times New Roman"/>
      <w:noProof/>
      <w:color w:val="000000"/>
      <w:sz w:val="24"/>
      <w:szCs w:val="24"/>
    </w:rPr>
  </w:style>
  <w:style w:type="paragraph" w:customStyle="1" w:styleId="ti-art">
    <w:name w:val="ti-art"/>
    <w:basedOn w:val="Normaali"/>
    <w:rsid w:val="00E261A4"/>
    <w:pPr>
      <w:spacing w:before="100" w:beforeAutospacing="1" w:after="100" w:afterAutospacing="1"/>
    </w:pPr>
  </w:style>
  <w:style w:type="paragraph" w:customStyle="1" w:styleId="sti-art">
    <w:name w:val="sti-art"/>
    <w:basedOn w:val="Normaali"/>
    <w:rsid w:val="00E261A4"/>
    <w:pPr>
      <w:spacing w:before="100" w:beforeAutospacing="1" w:after="100" w:afterAutospacing="1"/>
    </w:pPr>
  </w:style>
  <w:style w:type="paragraph" w:customStyle="1" w:styleId="Normal1">
    <w:name w:val="Normal1"/>
    <w:basedOn w:val="Normaali"/>
    <w:rsid w:val="00E261A4"/>
    <w:pPr>
      <w:spacing w:before="100" w:beforeAutospacing="1" w:after="100" w:afterAutospacing="1"/>
    </w:pPr>
  </w:style>
  <w:style w:type="character" w:customStyle="1" w:styleId="italic">
    <w:name w:val="italic"/>
    <w:basedOn w:val="Kappaleenoletusfontti"/>
    <w:rsid w:val="00E261A4"/>
  </w:style>
  <w:style w:type="character" w:customStyle="1" w:styleId="BalloonTextChar1">
    <w:name w:val="Balloon Text Char1"/>
    <w:basedOn w:val="Kappaleenoletusfontti"/>
    <w:uiPriority w:val="99"/>
    <w:semiHidden/>
    <w:rsid w:val="008F46D9"/>
    <w:rPr>
      <w:rFonts w:ascii="Tahoma" w:hAnsi="Tahoma" w:cs="Tahoma"/>
      <w:sz w:val="16"/>
      <w:szCs w:val="16"/>
    </w:rPr>
  </w:style>
  <w:style w:type="character" w:customStyle="1" w:styleId="CommentTextChar1">
    <w:name w:val="Comment Text Char1"/>
    <w:basedOn w:val="Kappaleenoletusfontti"/>
    <w:uiPriority w:val="99"/>
    <w:semiHidden/>
    <w:rsid w:val="008F46D9"/>
    <w:rPr>
      <w:sz w:val="20"/>
      <w:szCs w:val="20"/>
    </w:rPr>
  </w:style>
  <w:style w:type="character" w:customStyle="1" w:styleId="CommentSubjectChar1">
    <w:name w:val="Comment Subject Char1"/>
    <w:basedOn w:val="KommentintekstiChar"/>
    <w:uiPriority w:val="99"/>
    <w:semiHidden/>
    <w:rsid w:val="008F46D9"/>
    <w:rPr>
      <w:rFonts w:ascii="Verdana" w:eastAsia="Calibri" w:hAnsi="Verdana" w:cs="Times New Roman"/>
      <w:b/>
      <w:bCs/>
      <w:sz w:val="20"/>
      <w:szCs w:val="20"/>
      <w:lang w:eastAsia="pt-PT"/>
    </w:rPr>
  </w:style>
  <w:style w:type="paragraph" w:styleId="Sisluet4">
    <w:name w:val="toc 4"/>
    <w:basedOn w:val="Normaali"/>
    <w:next w:val="Normaali"/>
    <w:autoRedefine/>
    <w:semiHidden/>
    <w:rsid w:val="008F46D9"/>
    <w:pPr>
      <w:tabs>
        <w:tab w:val="right" w:leader="dot" w:pos="8222"/>
      </w:tabs>
      <w:spacing w:after="60"/>
      <w:ind w:left="2552" w:right="851" w:hanging="624"/>
    </w:pPr>
    <w:rPr>
      <w:sz w:val="20"/>
      <w:szCs w:val="20"/>
      <w:lang w:val="fr-FR" w:eastAsia="fr-FR"/>
    </w:rPr>
  </w:style>
  <w:style w:type="paragraph" w:styleId="Sisluet5">
    <w:name w:val="toc 5"/>
    <w:basedOn w:val="Normaali"/>
    <w:next w:val="Normaali"/>
    <w:autoRedefine/>
    <w:semiHidden/>
    <w:rsid w:val="008F46D9"/>
    <w:pPr>
      <w:tabs>
        <w:tab w:val="right" w:leader="dot" w:pos="8222"/>
      </w:tabs>
      <w:ind w:left="2381" w:right="851" w:hanging="113"/>
    </w:pPr>
    <w:rPr>
      <w:sz w:val="20"/>
      <w:szCs w:val="20"/>
      <w:lang w:val="fr-FR" w:eastAsia="fr-FR"/>
    </w:rPr>
  </w:style>
  <w:style w:type="paragraph" w:styleId="Kuvaotsikko">
    <w:name w:val="caption"/>
    <w:basedOn w:val="Normaali"/>
    <w:next w:val="Normaali"/>
    <w:qFormat/>
    <w:rsid w:val="008F46D9"/>
    <w:pPr>
      <w:jc w:val="both"/>
    </w:pPr>
    <w:rPr>
      <w:rFonts w:ascii="Arial" w:hAnsi="Arial"/>
      <w:b/>
      <w:sz w:val="20"/>
      <w:szCs w:val="20"/>
      <w:lang w:val="fr-FR" w:eastAsia="fr-FR"/>
    </w:rPr>
  </w:style>
  <w:style w:type="paragraph" w:customStyle="1" w:styleId="xl16814">
    <w:name w:val="xl16814"/>
    <w:basedOn w:val="Normaali"/>
    <w:rsid w:val="008F46D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815">
    <w:name w:val="xl16815"/>
    <w:basedOn w:val="Normaali"/>
    <w:rsid w:val="008F46D9"/>
    <w:pPr>
      <w:shd w:val="clear" w:color="000000" w:fill="FFFFFF"/>
      <w:spacing w:before="100" w:beforeAutospacing="1" w:after="100" w:afterAutospacing="1"/>
      <w:jc w:val="center"/>
      <w:textAlignment w:val="center"/>
    </w:pPr>
    <w:rPr>
      <w:b/>
      <w:bCs/>
    </w:rPr>
  </w:style>
  <w:style w:type="paragraph" w:customStyle="1" w:styleId="xl16816">
    <w:name w:val="xl16816"/>
    <w:basedOn w:val="Normaali"/>
    <w:rsid w:val="008F46D9"/>
    <w:pPr>
      <w:shd w:val="clear" w:color="000000" w:fill="FFFFFF"/>
      <w:spacing w:before="100" w:beforeAutospacing="1" w:after="100" w:afterAutospacing="1"/>
    </w:pPr>
  </w:style>
  <w:style w:type="paragraph" w:customStyle="1" w:styleId="xl16817">
    <w:name w:val="xl16817"/>
    <w:basedOn w:val="Normaali"/>
    <w:rsid w:val="008F46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18">
    <w:name w:val="xl16818"/>
    <w:basedOn w:val="Normaali"/>
    <w:rsid w:val="008F46D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819">
    <w:name w:val="xl16819"/>
    <w:basedOn w:val="Normaali"/>
    <w:rsid w:val="008F46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20">
    <w:name w:val="xl16820"/>
    <w:basedOn w:val="Normaali"/>
    <w:rsid w:val="008F46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21">
    <w:name w:val="xl16821"/>
    <w:basedOn w:val="Normaali"/>
    <w:rsid w:val="008F46D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822">
    <w:name w:val="xl16822"/>
    <w:basedOn w:val="Normaali"/>
    <w:rsid w:val="008F46D9"/>
    <w:pPr>
      <w:shd w:val="clear" w:color="000000" w:fill="FFFFFF"/>
      <w:spacing w:before="100" w:beforeAutospacing="1" w:after="100" w:afterAutospacing="1"/>
      <w:textAlignment w:val="center"/>
    </w:pPr>
    <w:rPr>
      <w:b/>
      <w:bCs/>
    </w:rPr>
  </w:style>
  <w:style w:type="paragraph" w:customStyle="1" w:styleId="xl16823">
    <w:name w:val="xl16823"/>
    <w:basedOn w:val="Normaali"/>
    <w:rsid w:val="008F46D9"/>
    <w:pPr>
      <w:shd w:val="clear" w:color="000000" w:fill="FFFFFF"/>
      <w:spacing w:before="100" w:beforeAutospacing="1" w:after="100" w:afterAutospacing="1"/>
      <w:textAlignment w:val="center"/>
    </w:pPr>
  </w:style>
  <w:style w:type="paragraph" w:customStyle="1" w:styleId="xl16825">
    <w:name w:val="xl16825"/>
    <w:basedOn w:val="Normaali"/>
    <w:rsid w:val="008F46D9"/>
    <w:pPr>
      <w:shd w:val="clear" w:color="000000" w:fill="FFFFFF"/>
      <w:spacing w:before="100" w:beforeAutospacing="1" w:after="100" w:afterAutospacing="1"/>
      <w:jc w:val="center"/>
    </w:pPr>
    <w:rPr>
      <w:b/>
      <w:bCs/>
    </w:rPr>
  </w:style>
  <w:style w:type="paragraph" w:customStyle="1" w:styleId="xl16826">
    <w:name w:val="xl16826"/>
    <w:basedOn w:val="Normaali"/>
    <w:rsid w:val="008F46D9"/>
    <w:pPr>
      <w:shd w:val="clear" w:color="000000" w:fill="FFFFFF"/>
      <w:spacing w:before="100" w:beforeAutospacing="1" w:after="100" w:afterAutospacing="1"/>
      <w:jc w:val="center"/>
      <w:textAlignment w:val="center"/>
    </w:pPr>
    <w:rPr>
      <w:b/>
      <w:bCs/>
    </w:rPr>
  </w:style>
  <w:style w:type="paragraph" w:customStyle="1" w:styleId="xl16827">
    <w:name w:val="xl16827"/>
    <w:basedOn w:val="Normaali"/>
    <w:rsid w:val="008F46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28">
    <w:name w:val="xl16828"/>
    <w:basedOn w:val="Normaali"/>
    <w:rsid w:val="008F46D9"/>
    <w:pPr>
      <w:pBdr>
        <w:left w:val="single" w:sz="4" w:space="7" w:color="auto"/>
        <w:right w:val="single" w:sz="4" w:space="0" w:color="auto"/>
      </w:pBdr>
      <w:shd w:val="clear" w:color="000000" w:fill="FFFFFF"/>
      <w:spacing w:before="100" w:beforeAutospacing="1" w:after="100" w:afterAutospacing="1"/>
      <w:ind w:firstLineChars="100" w:firstLine="100"/>
      <w:textAlignment w:val="top"/>
    </w:pPr>
  </w:style>
  <w:style w:type="paragraph" w:customStyle="1" w:styleId="xl16829">
    <w:name w:val="xl16829"/>
    <w:basedOn w:val="Normaali"/>
    <w:rsid w:val="008F46D9"/>
    <w:pPr>
      <w:pBdr>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top"/>
    </w:pPr>
  </w:style>
  <w:style w:type="paragraph" w:customStyle="1" w:styleId="xl16830">
    <w:name w:val="xl16830"/>
    <w:basedOn w:val="Normaali"/>
    <w:rsid w:val="008F46D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831">
    <w:name w:val="xl16831"/>
    <w:basedOn w:val="Normaali"/>
    <w:rsid w:val="008F46D9"/>
    <w:pPr>
      <w:shd w:val="clear" w:color="000000" w:fill="FFFFFF"/>
      <w:spacing w:before="100" w:beforeAutospacing="1" w:after="100" w:afterAutospacing="1"/>
      <w:textAlignment w:val="top"/>
    </w:pPr>
    <w:rPr>
      <w:b/>
      <w:bCs/>
      <w:i/>
      <w:iCs/>
    </w:rPr>
  </w:style>
  <w:style w:type="paragraph" w:customStyle="1" w:styleId="xl16832">
    <w:name w:val="xl16832"/>
    <w:basedOn w:val="Normaali"/>
    <w:rsid w:val="008F46D9"/>
    <w:pPr>
      <w:pBdr>
        <w:left w:val="single" w:sz="4" w:space="0" w:color="auto"/>
        <w:right w:val="single" w:sz="4" w:space="0" w:color="auto"/>
      </w:pBdr>
      <w:shd w:val="clear" w:color="000000" w:fill="FFFFFF"/>
      <w:spacing w:before="100" w:beforeAutospacing="1" w:after="100" w:afterAutospacing="1"/>
    </w:pPr>
  </w:style>
  <w:style w:type="paragraph" w:customStyle="1" w:styleId="xl16833">
    <w:name w:val="xl16833"/>
    <w:basedOn w:val="Normaali"/>
    <w:rsid w:val="008F46D9"/>
    <w:pPr>
      <w:shd w:val="clear" w:color="000000" w:fill="FFFFFF"/>
      <w:spacing w:before="100" w:beforeAutospacing="1" w:after="100" w:afterAutospacing="1"/>
      <w:textAlignment w:val="center"/>
    </w:pPr>
    <w:rPr>
      <w:b/>
      <w:bCs/>
    </w:rPr>
  </w:style>
  <w:style w:type="paragraph" w:customStyle="1" w:styleId="xl16834">
    <w:name w:val="xl16834"/>
    <w:basedOn w:val="Normaali"/>
    <w:rsid w:val="008F46D9"/>
    <w:pPr>
      <w:shd w:val="clear" w:color="000000" w:fill="FFFFFF"/>
      <w:spacing w:before="100" w:beforeAutospacing="1" w:after="100" w:afterAutospacing="1"/>
      <w:textAlignment w:val="top"/>
    </w:pPr>
    <w:rPr>
      <w:b/>
      <w:bCs/>
      <w:i/>
      <w:iCs/>
    </w:rPr>
  </w:style>
  <w:style w:type="paragraph" w:customStyle="1" w:styleId="xl16835">
    <w:name w:val="xl16835"/>
    <w:basedOn w:val="Normaali"/>
    <w:rsid w:val="008F46D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6836">
    <w:name w:val="xl16836"/>
    <w:basedOn w:val="Normaali"/>
    <w:rsid w:val="008F46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37">
    <w:name w:val="xl16837"/>
    <w:basedOn w:val="Normaali"/>
    <w:rsid w:val="008F46D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6838">
    <w:name w:val="xl16838"/>
    <w:basedOn w:val="Normaali"/>
    <w:rsid w:val="008F46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6839">
    <w:name w:val="xl16839"/>
    <w:basedOn w:val="Normaali"/>
    <w:rsid w:val="008F46D9"/>
    <w:pPr>
      <w:pBdr>
        <w:top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6840">
    <w:name w:val="xl16840"/>
    <w:basedOn w:val="Normaali"/>
    <w:rsid w:val="008F46D9"/>
    <w:pPr>
      <w:pBdr>
        <w:bottom w:val="single" w:sz="4" w:space="0" w:color="auto"/>
      </w:pBdr>
      <w:shd w:val="clear" w:color="000000" w:fill="FFFFFF"/>
      <w:spacing w:before="100" w:beforeAutospacing="1" w:after="100" w:afterAutospacing="1"/>
      <w:textAlignment w:val="top"/>
    </w:pPr>
    <w:rPr>
      <w:b/>
      <w:bCs/>
      <w:i/>
      <w:iCs/>
    </w:rPr>
  </w:style>
  <w:style w:type="paragraph" w:customStyle="1" w:styleId="NumPar2">
    <w:name w:val="NumPar 2"/>
    <w:basedOn w:val="Normaali"/>
    <w:next w:val="Normaali"/>
    <w:rsid w:val="008938DB"/>
    <w:pPr>
      <w:tabs>
        <w:tab w:val="num" w:pos="850"/>
      </w:tabs>
      <w:ind w:left="850" w:hanging="850"/>
      <w:jc w:val="both"/>
    </w:pPr>
    <w:rPr>
      <w:szCs w:val="22"/>
    </w:rPr>
  </w:style>
  <w:style w:type="paragraph" w:customStyle="1" w:styleId="NumPar3">
    <w:name w:val="NumPar 3"/>
    <w:basedOn w:val="Normaali"/>
    <w:next w:val="Normaali"/>
    <w:rsid w:val="008938DB"/>
    <w:pPr>
      <w:tabs>
        <w:tab w:val="num" w:pos="850"/>
      </w:tabs>
      <w:ind w:left="850" w:hanging="850"/>
      <w:jc w:val="both"/>
    </w:pPr>
    <w:rPr>
      <w:szCs w:val="22"/>
    </w:rPr>
  </w:style>
  <w:style w:type="paragraph" w:customStyle="1" w:styleId="NumPar4">
    <w:name w:val="NumPar 4"/>
    <w:basedOn w:val="Normaali"/>
    <w:next w:val="Normaali"/>
    <w:rsid w:val="008938DB"/>
    <w:pPr>
      <w:tabs>
        <w:tab w:val="num" w:pos="850"/>
      </w:tabs>
      <w:ind w:left="850" w:hanging="850"/>
      <w:jc w:val="both"/>
    </w:pPr>
    <w:rPr>
      <w:szCs w:val="22"/>
    </w:rPr>
  </w:style>
  <w:style w:type="paragraph" w:customStyle="1" w:styleId="IASBTitle">
    <w:name w:val="IASB Title"/>
    <w:rsid w:val="008938DB"/>
    <w:pPr>
      <w:keepNext/>
      <w:keepLines/>
      <w:spacing w:before="300" w:after="400" w:line="240" w:lineRule="auto"/>
    </w:pPr>
    <w:rPr>
      <w:rFonts w:ascii="Times New Roman" w:eastAsia="Times New Roman" w:hAnsi="Times New Roman" w:cs="Arial"/>
      <w:sz w:val="36"/>
      <w:szCs w:val="20"/>
      <w:lang w:val="en-US"/>
    </w:rPr>
  </w:style>
  <w:style w:type="character" w:styleId="Paikkamerkkiteksti">
    <w:name w:val="Placeholder Text"/>
    <w:basedOn w:val="Kappaleenoletusfontti"/>
    <w:uiPriority w:val="99"/>
    <w:semiHidden/>
    <w:rsid w:val="008938DB"/>
    <w:rPr>
      <w:color w:val="808080"/>
    </w:rPr>
  </w:style>
  <w:style w:type="character" w:customStyle="1" w:styleId="LuettelokappaleChar">
    <w:name w:val="Luettelokappale Char"/>
    <w:basedOn w:val="Kappaleenoletusfontti"/>
    <w:link w:val="Luettelokappale"/>
    <w:uiPriority w:val="34"/>
    <w:locked/>
    <w:rsid w:val="005158E4"/>
    <w:rPr>
      <w:rFonts w:ascii="Verdana" w:eastAsia="Calibri" w:hAnsi="Verdana" w:cs="Times New Roman"/>
      <w:szCs w:val="24"/>
      <w:lang w:val="pt-PT"/>
    </w:rPr>
  </w:style>
  <w:style w:type="paragraph" w:customStyle="1" w:styleId="CM1">
    <w:name w:val="CM1"/>
    <w:basedOn w:val="Normaali"/>
    <w:uiPriority w:val="99"/>
    <w:rsid w:val="004D2D71"/>
    <w:pPr>
      <w:autoSpaceDE w:val="0"/>
      <w:autoSpaceDN w:val="0"/>
    </w:pPr>
    <w:rPr>
      <w:rFonts w:ascii="EUAlbertina" w:eastAsiaTheme="minorHAnsi" w:hAnsi="EUAlberti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49720">
      <w:bodyDiv w:val="1"/>
      <w:marLeft w:val="0"/>
      <w:marRight w:val="0"/>
      <w:marTop w:val="0"/>
      <w:marBottom w:val="0"/>
      <w:divBdr>
        <w:top w:val="none" w:sz="0" w:space="0" w:color="auto"/>
        <w:left w:val="none" w:sz="0" w:space="0" w:color="auto"/>
        <w:bottom w:val="none" w:sz="0" w:space="0" w:color="auto"/>
        <w:right w:val="none" w:sz="0" w:space="0" w:color="auto"/>
      </w:divBdr>
    </w:div>
    <w:div w:id="81420112">
      <w:bodyDiv w:val="1"/>
      <w:marLeft w:val="0"/>
      <w:marRight w:val="0"/>
      <w:marTop w:val="0"/>
      <w:marBottom w:val="0"/>
      <w:divBdr>
        <w:top w:val="none" w:sz="0" w:space="0" w:color="auto"/>
        <w:left w:val="none" w:sz="0" w:space="0" w:color="auto"/>
        <w:bottom w:val="none" w:sz="0" w:space="0" w:color="auto"/>
        <w:right w:val="none" w:sz="0" w:space="0" w:color="auto"/>
      </w:divBdr>
    </w:div>
    <w:div w:id="133529000">
      <w:bodyDiv w:val="1"/>
      <w:marLeft w:val="0"/>
      <w:marRight w:val="0"/>
      <w:marTop w:val="0"/>
      <w:marBottom w:val="0"/>
      <w:divBdr>
        <w:top w:val="none" w:sz="0" w:space="0" w:color="auto"/>
        <w:left w:val="none" w:sz="0" w:space="0" w:color="auto"/>
        <w:bottom w:val="none" w:sz="0" w:space="0" w:color="auto"/>
        <w:right w:val="none" w:sz="0" w:space="0" w:color="auto"/>
      </w:divBdr>
    </w:div>
    <w:div w:id="145317866">
      <w:bodyDiv w:val="1"/>
      <w:marLeft w:val="0"/>
      <w:marRight w:val="0"/>
      <w:marTop w:val="0"/>
      <w:marBottom w:val="0"/>
      <w:divBdr>
        <w:top w:val="none" w:sz="0" w:space="0" w:color="auto"/>
        <w:left w:val="none" w:sz="0" w:space="0" w:color="auto"/>
        <w:bottom w:val="none" w:sz="0" w:space="0" w:color="auto"/>
        <w:right w:val="none" w:sz="0" w:space="0" w:color="auto"/>
      </w:divBdr>
      <w:divsChild>
        <w:div w:id="508105509">
          <w:marLeft w:val="0"/>
          <w:marRight w:val="0"/>
          <w:marTop w:val="0"/>
          <w:marBottom w:val="0"/>
          <w:divBdr>
            <w:top w:val="none" w:sz="0" w:space="0" w:color="auto"/>
            <w:left w:val="none" w:sz="0" w:space="0" w:color="auto"/>
            <w:bottom w:val="none" w:sz="0" w:space="0" w:color="auto"/>
            <w:right w:val="none" w:sz="0" w:space="0" w:color="auto"/>
          </w:divBdr>
        </w:div>
        <w:div w:id="1249001487">
          <w:marLeft w:val="0"/>
          <w:marRight w:val="0"/>
          <w:marTop w:val="0"/>
          <w:marBottom w:val="0"/>
          <w:divBdr>
            <w:top w:val="none" w:sz="0" w:space="0" w:color="auto"/>
            <w:left w:val="none" w:sz="0" w:space="0" w:color="auto"/>
            <w:bottom w:val="none" w:sz="0" w:space="0" w:color="auto"/>
            <w:right w:val="none" w:sz="0" w:space="0" w:color="auto"/>
          </w:divBdr>
        </w:div>
        <w:div w:id="1296445582">
          <w:marLeft w:val="0"/>
          <w:marRight w:val="0"/>
          <w:marTop w:val="0"/>
          <w:marBottom w:val="0"/>
          <w:divBdr>
            <w:top w:val="none" w:sz="0" w:space="0" w:color="auto"/>
            <w:left w:val="none" w:sz="0" w:space="0" w:color="auto"/>
            <w:bottom w:val="none" w:sz="0" w:space="0" w:color="auto"/>
            <w:right w:val="none" w:sz="0" w:space="0" w:color="auto"/>
          </w:divBdr>
        </w:div>
        <w:div w:id="2044209825">
          <w:marLeft w:val="0"/>
          <w:marRight w:val="0"/>
          <w:marTop w:val="0"/>
          <w:marBottom w:val="0"/>
          <w:divBdr>
            <w:top w:val="none" w:sz="0" w:space="0" w:color="auto"/>
            <w:left w:val="none" w:sz="0" w:space="0" w:color="auto"/>
            <w:bottom w:val="none" w:sz="0" w:space="0" w:color="auto"/>
            <w:right w:val="none" w:sz="0" w:space="0" w:color="auto"/>
          </w:divBdr>
        </w:div>
      </w:divsChild>
    </w:div>
    <w:div w:id="155195715">
      <w:bodyDiv w:val="1"/>
      <w:marLeft w:val="0"/>
      <w:marRight w:val="0"/>
      <w:marTop w:val="0"/>
      <w:marBottom w:val="0"/>
      <w:divBdr>
        <w:top w:val="none" w:sz="0" w:space="0" w:color="auto"/>
        <w:left w:val="none" w:sz="0" w:space="0" w:color="auto"/>
        <w:bottom w:val="none" w:sz="0" w:space="0" w:color="auto"/>
        <w:right w:val="none" w:sz="0" w:space="0" w:color="auto"/>
      </w:divBdr>
    </w:div>
    <w:div w:id="182212860">
      <w:bodyDiv w:val="1"/>
      <w:marLeft w:val="0"/>
      <w:marRight w:val="0"/>
      <w:marTop w:val="0"/>
      <w:marBottom w:val="0"/>
      <w:divBdr>
        <w:top w:val="none" w:sz="0" w:space="0" w:color="auto"/>
        <w:left w:val="none" w:sz="0" w:space="0" w:color="auto"/>
        <w:bottom w:val="none" w:sz="0" w:space="0" w:color="auto"/>
        <w:right w:val="none" w:sz="0" w:space="0" w:color="auto"/>
      </w:divBdr>
    </w:div>
    <w:div w:id="209079531">
      <w:bodyDiv w:val="1"/>
      <w:marLeft w:val="0"/>
      <w:marRight w:val="0"/>
      <w:marTop w:val="0"/>
      <w:marBottom w:val="0"/>
      <w:divBdr>
        <w:top w:val="none" w:sz="0" w:space="0" w:color="auto"/>
        <w:left w:val="none" w:sz="0" w:space="0" w:color="auto"/>
        <w:bottom w:val="none" w:sz="0" w:space="0" w:color="auto"/>
        <w:right w:val="none" w:sz="0" w:space="0" w:color="auto"/>
      </w:divBdr>
    </w:div>
    <w:div w:id="276107529">
      <w:bodyDiv w:val="1"/>
      <w:marLeft w:val="0"/>
      <w:marRight w:val="0"/>
      <w:marTop w:val="0"/>
      <w:marBottom w:val="0"/>
      <w:divBdr>
        <w:top w:val="none" w:sz="0" w:space="0" w:color="auto"/>
        <w:left w:val="none" w:sz="0" w:space="0" w:color="auto"/>
        <w:bottom w:val="none" w:sz="0" w:space="0" w:color="auto"/>
        <w:right w:val="none" w:sz="0" w:space="0" w:color="auto"/>
      </w:divBdr>
      <w:divsChild>
        <w:div w:id="1172380859">
          <w:marLeft w:val="547"/>
          <w:marRight w:val="0"/>
          <w:marTop w:val="86"/>
          <w:marBottom w:val="0"/>
          <w:divBdr>
            <w:top w:val="none" w:sz="0" w:space="0" w:color="auto"/>
            <w:left w:val="none" w:sz="0" w:space="0" w:color="auto"/>
            <w:bottom w:val="none" w:sz="0" w:space="0" w:color="auto"/>
            <w:right w:val="none" w:sz="0" w:space="0" w:color="auto"/>
          </w:divBdr>
        </w:div>
        <w:div w:id="1619289850">
          <w:marLeft w:val="547"/>
          <w:marRight w:val="0"/>
          <w:marTop w:val="86"/>
          <w:marBottom w:val="0"/>
          <w:divBdr>
            <w:top w:val="none" w:sz="0" w:space="0" w:color="auto"/>
            <w:left w:val="none" w:sz="0" w:space="0" w:color="auto"/>
            <w:bottom w:val="none" w:sz="0" w:space="0" w:color="auto"/>
            <w:right w:val="none" w:sz="0" w:space="0" w:color="auto"/>
          </w:divBdr>
        </w:div>
        <w:div w:id="1843937038">
          <w:marLeft w:val="547"/>
          <w:marRight w:val="0"/>
          <w:marTop w:val="86"/>
          <w:marBottom w:val="0"/>
          <w:divBdr>
            <w:top w:val="none" w:sz="0" w:space="0" w:color="auto"/>
            <w:left w:val="none" w:sz="0" w:space="0" w:color="auto"/>
            <w:bottom w:val="none" w:sz="0" w:space="0" w:color="auto"/>
            <w:right w:val="none" w:sz="0" w:space="0" w:color="auto"/>
          </w:divBdr>
        </w:div>
      </w:divsChild>
    </w:div>
    <w:div w:id="281809996">
      <w:bodyDiv w:val="1"/>
      <w:marLeft w:val="0"/>
      <w:marRight w:val="0"/>
      <w:marTop w:val="0"/>
      <w:marBottom w:val="0"/>
      <w:divBdr>
        <w:top w:val="none" w:sz="0" w:space="0" w:color="auto"/>
        <w:left w:val="none" w:sz="0" w:space="0" w:color="auto"/>
        <w:bottom w:val="none" w:sz="0" w:space="0" w:color="auto"/>
        <w:right w:val="none" w:sz="0" w:space="0" w:color="auto"/>
      </w:divBdr>
    </w:div>
    <w:div w:id="289283845">
      <w:bodyDiv w:val="1"/>
      <w:marLeft w:val="0"/>
      <w:marRight w:val="0"/>
      <w:marTop w:val="0"/>
      <w:marBottom w:val="0"/>
      <w:divBdr>
        <w:top w:val="none" w:sz="0" w:space="0" w:color="auto"/>
        <w:left w:val="none" w:sz="0" w:space="0" w:color="auto"/>
        <w:bottom w:val="none" w:sz="0" w:space="0" w:color="auto"/>
        <w:right w:val="none" w:sz="0" w:space="0" w:color="auto"/>
      </w:divBdr>
      <w:divsChild>
        <w:div w:id="1017779055">
          <w:marLeft w:val="0"/>
          <w:marRight w:val="0"/>
          <w:marTop w:val="0"/>
          <w:marBottom w:val="0"/>
          <w:divBdr>
            <w:top w:val="none" w:sz="0" w:space="0" w:color="auto"/>
            <w:left w:val="none" w:sz="0" w:space="0" w:color="auto"/>
            <w:bottom w:val="none" w:sz="0" w:space="0" w:color="auto"/>
            <w:right w:val="none" w:sz="0" w:space="0" w:color="auto"/>
          </w:divBdr>
          <w:divsChild>
            <w:div w:id="638266473">
              <w:marLeft w:val="0"/>
              <w:marRight w:val="0"/>
              <w:marTop w:val="0"/>
              <w:marBottom w:val="0"/>
              <w:divBdr>
                <w:top w:val="none" w:sz="0" w:space="0" w:color="auto"/>
                <w:left w:val="none" w:sz="0" w:space="0" w:color="auto"/>
                <w:bottom w:val="none" w:sz="0" w:space="0" w:color="auto"/>
                <w:right w:val="none" w:sz="0" w:space="0" w:color="auto"/>
              </w:divBdr>
              <w:divsChild>
                <w:div w:id="1087536745">
                  <w:marLeft w:val="0"/>
                  <w:marRight w:val="0"/>
                  <w:marTop w:val="0"/>
                  <w:marBottom w:val="0"/>
                  <w:divBdr>
                    <w:top w:val="none" w:sz="0" w:space="0" w:color="auto"/>
                    <w:left w:val="none" w:sz="0" w:space="0" w:color="auto"/>
                    <w:bottom w:val="none" w:sz="0" w:space="0" w:color="auto"/>
                    <w:right w:val="none" w:sz="0" w:space="0" w:color="auto"/>
                  </w:divBdr>
                  <w:divsChild>
                    <w:div w:id="2021200499">
                      <w:marLeft w:val="0"/>
                      <w:marRight w:val="0"/>
                      <w:marTop w:val="0"/>
                      <w:marBottom w:val="0"/>
                      <w:divBdr>
                        <w:top w:val="none" w:sz="0" w:space="0" w:color="auto"/>
                        <w:left w:val="none" w:sz="0" w:space="0" w:color="auto"/>
                        <w:bottom w:val="none" w:sz="0" w:space="0" w:color="auto"/>
                        <w:right w:val="none" w:sz="0" w:space="0" w:color="auto"/>
                      </w:divBdr>
                      <w:divsChild>
                        <w:div w:id="947352043">
                          <w:marLeft w:val="0"/>
                          <w:marRight w:val="0"/>
                          <w:marTop w:val="0"/>
                          <w:marBottom w:val="0"/>
                          <w:divBdr>
                            <w:top w:val="none" w:sz="0" w:space="0" w:color="auto"/>
                            <w:left w:val="none" w:sz="0" w:space="0" w:color="auto"/>
                            <w:bottom w:val="none" w:sz="0" w:space="0" w:color="auto"/>
                            <w:right w:val="none" w:sz="0" w:space="0" w:color="auto"/>
                          </w:divBdr>
                          <w:divsChild>
                            <w:div w:id="598292832">
                              <w:marLeft w:val="0"/>
                              <w:marRight w:val="0"/>
                              <w:marTop w:val="0"/>
                              <w:marBottom w:val="0"/>
                              <w:divBdr>
                                <w:top w:val="none" w:sz="0" w:space="0" w:color="auto"/>
                                <w:left w:val="none" w:sz="0" w:space="0" w:color="auto"/>
                                <w:bottom w:val="none" w:sz="0" w:space="0" w:color="auto"/>
                                <w:right w:val="none" w:sz="0" w:space="0" w:color="auto"/>
                              </w:divBdr>
                              <w:divsChild>
                                <w:div w:id="127433167">
                                  <w:marLeft w:val="0"/>
                                  <w:marRight w:val="0"/>
                                  <w:marTop w:val="180"/>
                                  <w:marBottom w:val="0"/>
                                  <w:divBdr>
                                    <w:top w:val="none" w:sz="0" w:space="0" w:color="auto"/>
                                    <w:left w:val="none" w:sz="0" w:space="0" w:color="auto"/>
                                    <w:bottom w:val="none" w:sz="0" w:space="0" w:color="auto"/>
                                    <w:right w:val="none" w:sz="0" w:space="0" w:color="auto"/>
                                  </w:divBdr>
                                  <w:divsChild>
                                    <w:div w:id="1662655473">
                                      <w:marLeft w:val="0"/>
                                      <w:marRight w:val="0"/>
                                      <w:marTop w:val="0"/>
                                      <w:marBottom w:val="0"/>
                                      <w:divBdr>
                                        <w:top w:val="none" w:sz="0" w:space="0" w:color="auto"/>
                                        <w:left w:val="none" w:sz="0" w:space="0" w:color="auto"/>
                                        <w:bottom w:val="none" w:sz="0" w:space="0" w:color="auto"/>
                                        <w:right w:val="none" w:sz="0" w:space="0" w:color="auto"/>
                                      </w:divBdr>
                                      <w:divsChild>
                                        <w:div w:id="1516773944">
                                          <w:marLeft w:val="0"/>
                                          <w:marRight w:val="0"/>
                                          <w:marTop w:val="0"/>
                                          <w:marBottom w:val="0"/>
                                          <w:divBdr>
                                            <w:top w:val="none" w:sz="0" w:space="0" w:color="auto"/>
                                            <w:left w:val="none" w:sz="0" w:space="0" w:color="auto"/>
                                            <w:bottom w:val="none" w:sz="0" w:space="0" w:color="auto"/>
                                            <w:right w:val="none" w:sz="0" w:space="0" w:color="auto"/>
                                          </w:divBdr>
                                          <w:divsChild>
                                            <w:div w:id="1761221903">
                                              <w:marLeft w:val="0"/>
                                              <w:marRight w:val="0"/>
                                              <w:marTop w:val="0"/>
                                              <w:marBottom w:val="0"/>
                                              <w:divBdr>
                                                <w:top w:val="none" w:sz="0" w:space="0" w:color="auto"/>
                                                <w:left w:val="none" w:sz="0" w:space="0" w:color="auto"/>
                                                <w:bottom w:val="none" w:sz="0" w:space="0" w:color="auto"/>
                                                <w:right w:val="none" w:sz="0" w:space="0" w:color="auto"/>
                                              </w:divBdr>
                                              <w:divsChild>
                                                <w:div w:id="622351408">
                                                  <w:marLeft w:val="0"/>
                                                  <w:marRight w:val="0"/>
                                                  <w:marTop w:val="0"/>
                                                  <w:marBottom w:val="240"/>
                                                  <w:divBdr>
                                                    <w:top w:val="none" w:sz="0" w:space="0" w:color="auto"/>
                                                    <w:left w:val="none" w:sz="0" w:space="0" w:color="auto"/>
                                                    <w:bottom w:val="none" w:sz="0" w:space="0" w:color="auto"/>
                                                    <w:right w:val="none" w:sz="0" w:space="0" w:color="auto"/>
                                                  </w:divBdr>
                                                  <w:divsChild>
                                                    <w:div w:id="21102823">
                                                      <w:marLeft w:val="0"/>
                                                      <w:marRight w:val="0"/>
                                                      <w:marTop w:val="0"/>
                                                      <w:marBottom w:val="0"/>
                                                      <w:divBdr>
                                                        <w:top w:val="none" w:sz="0" w:space="0" w:color="auto"/>
                                                        <w:left w:val="none" w:sz="0" w:space="0" w:color="auto"/>
                                                        <w:bottom w:val="none" w:sz="0" w:space="0" w:color="auto"/>
                                                        <w:right w:val="none" w:sz="0" w:space="0" w:color="auto"/>
                                                      </w:divBdr>
                                                      <w:divsChild>
                                                        <w:div w:id="20135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9305590">
      <w:bodyDiv w:val="1"/>
      <w:marLeft w:val="0"/>
      <w:marRight w:val="0"/>
      <w:marTop w:val="0"/>
      <w:marBottom w:val="0"/>
      <w:divBdr>
        <w:top w:val="none" w:sz="0" w:space="0" w:color="auto"/>
        <w:left w:val="none" w:sz="0" w:space="0" w:color="auto"/>
        <w:bottom w:val="none" w:sz="0" w:space="0" w:color="auto"/>
        <w:right w:val="none" w:sz="0" w:space="0" w:color="auto"/>
      </w:divBdr>
    </w:div>
    <w:div w:id="321158958">
      <w:bodyDiv w:val="1"/>
      <w:marLeft w:val="0"/>
      <w:marRight w:val="0"/>
      <w:marTop w:val="0"/>
      <w:marBottom w:val="0"/>
      <w:divBdr>
        <w:top w:val="none" w:sz="0" w:space="0" w:color="auto"/>
        <w:left w:val="none" w:sz="0" w:space="0" w:color="auto"/>
        <w:bottom w:val="none" w:sz="0" w:space="0" w:color="auto"/>
        <w:right w:val="none" w:sz="0" w:space="0" w:color="auto"/>
      </w:divBdr>
    </w:div>
    <w:div w:id="400950118">
      <w:bodyDiv w:val="1"/>
      <w:marLeft w:val="0"/>
      <w:marRight w:val="0"/>
      <w:marTop w:val="0"/>
      <w:marBottom w:val="0"/>
      <w:divBdr>
        <w:top w:val="none" w:sz="0" w:space="0" w:color="auto"/>
        <w:left w:val="none" w:sz="0" w:space="0" w:color="auto"/>
        <w:bottom w:val="none" w:sz="0" w:space="0" w:color="auto"/>
        <w:right w:val="none" w:sz="0" w:space="0" w:color="auto"/>
      </w:divBdr>
    </w:div>
    <w:div w:id="404763371">
      <w:bodyDiv w:val="1"/>
      <w:marLeft w:val="0"/>
      <w:marRight w:val="0"/>
      <w:marTop w:val="0"/>
      <w:marBottom w:val="0"/>
      <w:divBdr>
        <w:top w:val="none" w:sz="0" w:space="0" w:color="auto"/>
        <w:left w:val="none" w:sz="0" w:space="0" w:color="auto"/>
        <w:bottom w:val="none" w:sz="0" w:space="0" w:color="auto"/>
        <w:right w:val="none" w:sz="0" w:space="0" w:color="auto"/>
      </w:divBdr>
    </w:div>
    <w:div w:id="471482514">
      <w:bodyDiv w:val="1"/>
      <w:marLeft w:val="0"/>
      <w:marRight w:val="0"/>
      <w:marTop w:val="0"/>
      <w:marBottom w:val="0"/>
      <w:divBdr>
        <w:top w:val="none" w:sz="0" w:space="0" w:color="auto"/>
        <w:left w:val="none" w:sz="0" w:space="0" w:color="auto"/>
        <w:bottom w:val="none" w:sz="0" w:space="0" w:color="auto"/>
        <w:right w:val="none" w:sz="0" w:space="0" w:color="auto"/>
      </w:divBdr>
    </w:div>
    <w:div w:id="535125198">
      <w:bodyDiv w:val="1"/>
      <w:marLeft w:val="0"/>
      <w:marRight w:val="0"/>
      <w:marTop w:val="0"/>
      <w:marBottom w:val="0"/>
      <w:divBdr>
        <w:top w:val="none" w:sz="0" w:space="0" w:color="auto"/>
        <w:left w:val="none" w:sz="0" w:space="0" w:color="auto"/>
        <w:bottom w:val="none" w:sz="0" w:space="0" w:color="auto"/>
        <w:right w:val="none" w:sz="0" w:space="0" w:color="auto"/>
      </w:divBdr>
    </w:div>
    <w:div w:id="547692802">
      <w:bodyDiv w:val="1"/>
      <w:marLeft w:val="0"/>
      <w:marRight w:val="0"/>
      <w:marTop w:val="0"/>
      <w:marBottom w:val="0"/>
      <w:divBdr>
        <w:top w:val="none" w:sz="0" w:space="0" w:color="auto"/>
        <w:left w:val="none" w:sz="0" w:space="0" w:color="auto"/>
        <w:bottom w:val="none" w:sz="0" w:space="0" w:color="auto"/>
        <w:right w:val="none" w:sz="0" w:space="0" w:color="auto"/>
      </w:divBdr>
    </w:div>
    <w:div w:id="585501262">
      <w:bodyDiv w:val="1"/>
      <w:marLeft w:val="0"/>
      <w:marRight w:val="0"/>
      <w:marTop w:val="0"/>
      <w:marBottom w:val="0"/>
      <w:divBdr>
        <w:top w:val="none" w:sz="0" w:space="0" w:color="auto"/>
        <w:left w:val="none" w:sz="0" w:space="0" w:color="auto"/>
        <w:bottom w:val="none" w:sz="0" w:space="0" w:color="auto"/>
        <w:right w:val="none" w:sz="0" w:space="0" w:color="auto"/>
      </w:divBdr>
      <w:divsChild>
        <w:div w:id="137574016">
          <w:marLeft w:val="0"/>
          <w:marRight w:val="0"/>
          <w:marTop w:val="0"/>
          <w:marBottom w:val="0"/>
          <w:divBdr>
            <w:top w:val="none" w:sz="0" w:space="0" w:color="auto"/>
            <w:left w:val="none" w:sz="0" w:space="0" w:color="auto"/>
            <w:bottom w:val="none" w:sz="0" w:space="0" w:color="auto"/>
            <w:right w:val="none" w:sz="0" w:space="0" w:color="auto"/>
          </w:divBdr>
        </w:div>
        <w:div w:id="910652355">
          <w:marLeft w:val="0"/>
          <w:marRight w:val="0"/>
          <w:marTop w:val="0"/>
          <w:marBottom w:val="0"/>
          <w:divBdr>
            <w:top w:val="none" w:sz="0" w:space="0" w:color="auto"/>
            <w:left w:val="none" w:sz="0" w:space="0" w:color="auto"/>
            <w:bottom w:val="none" w:sz="0" w:space="0" w:color="auto"/>
            <w:right w:val="none" w:sz="0" w:space="0" w:color="auto"/>
          </w:divBdr>
        </w:div>
        <w:div w:id="1011832935">
          <w:marLeft w:val="0"/>
          <w:marRight w:val="0"/>
          <w:marTop w:val="0"/>
          <w:marBottom w:val="0"/>
          <w:divBdr>
            <w:top w:val="none" w:sz="0" w:space="0" w:color="auto"/>
            <w:left w:val="none" w:sz="0" w:space="0" w:color="auto"/>
            <w:bottom w:val="none" w:sz="0" w:space="0" w:color="auto"/>
            <w:right w:val="none" w:sz="0" w:space="0" w:color="auto"/>
          </w:divBdr>
        </w:div>
        <w:div w:id="1757438617">
          <w:marLeft w:val="0"/>
          <w:marRight w:val="0"/>
          <w:marTop w:val="0"/>
          <w:marBottom w:val="0"/>
          <w:divBdr>
            <w:top w:val="none" w:sz="0" w:space="0" w:color="auto"/>
            <w:left w:val="none" w:sz="0" w:space="0" w:color="auto"/>
            <w:bottom w:val="none" w:sz="0" w:space="0" w:color="auto"/>
            <w:right w:val="none" w:sz="0" w:space="0" w:color="auto"/>
          </w:divBdr>
        </w:div>
      </w:divsChild>
    </w:div>
    <w:div w:id="586302681">
      <w:bodyDiv w:val="1"/>
      <w:marLeft w:val="0"/>
      <w:marRight w:val="0"/>
      <w:marTop w:val="0"/>
      <w:marBottom w:val="0"/>
      <w:divBdr>
        <w:top w:val="none" w:sz="0" w:space="0" w:color="auto"/>
        <w:left w:val="none" w:sz="0" w:space="0" w:color="auto"/>
        <w:bottom w:val="none" w:sz="0" w:space="0" w:color="auto"/>
        <w:right w:val="none" w:sz="0" w:space="0" w:color="auto"/>
      </w:divBdr>
      <w:divsChild>
        <w:div w:id="817235382">
          <w:marLeft w:val="0"/>
          <w:marRight w:val="0"/>
          <w:marTop w:val="0"/>
          <w:marBottom w:val="0"/>
          <w:divBdr>
            <w:top w:val="none" w:sz="0" w:space="0" w:color="auto"/>
            <w:left w:val="none" w:sz="0" w:space="0" w:color="auto"/>
            <w:bottom w:val="none" w:sz="0" w:space="0" w:color="auto"/>
            <w:right w:val="none" w:sz="0" w:space="0" w:color="auto"/>
          </w:divBdr>
        </w:div>
        <w:div w:id="1753622388">
          <w:marLeft w:val="0"/>
          <w:marRight w:val="0"/>
          <w:marTop w:val="0"/>
          <w:marBottom w:val="0"/>
          <w:divBdr>
            <w:top w:val="none" w:sz="0" w:space="0" w:color="auto"/>
            <w:left w:val="none" w:sz="0" w:space="0" w:color="auto"/>
            <w:bottom w:val="none" w:sz="0" w:space="0" w:color="auto"/>
            <w:right w:val="none" w:sz="0" w:space="0" w:color="auto"/>
          </w:divBdr>
        </w:div>
        <w:div w:id="2037651927">
          <w:marLeft w:val="0"/>
          <w:marRight w:val="0"/>
          <w:marTop w:val="0"/>
          <w:marBottom w:val="0"/>
          <w:divBdr>
            <w:top w:val="none" w:sz="0" w:space="0" w:color="auto"/>
            <w:left w:val="none" w:sz="0" w:space="0" w:color="auto"/>
            <w:bottom w:val="none" w:sz="0" w:space="0" w:color="auto"/>
            <w:right w:val="none" w:sz="0" w:space="0" w:color="auto"/>
          </w:divBdr>
        </w:div>
      </w:divsChild>
    </w:div>
    <w:div w:id="658846683">
      <w:bodyDiv w:val="1"/>
      <w:marLeft w:val="0"/>
      <w:marRight w:val="0"/>
      <w:marTop w:val="0"/>
      <w:marBottom w:val="0"/>
      <w:divBdr>
        <w:top w:val="none" w:sz="0" w:space="0" w:color="auto"/>
        <w:left w:val="none" w:sz="0" w:space="0" w:color="auto"/>
        <w:bottom w:val="none" w:sz="0" w:space="0" w:color="auto"/>
        <w:right w:val="none" w:sz="0" w:space="0" w:color="auto"/>
      </w:divBdr>
    </w:div>
    <w:div w:id="663777553">
      <w:bodyDiv w:val="1"/>
      <w:marLeft w:val="0"/>
      <w:marRight w:val="0"/>
      <w:marTop w:val="0"/>
      <w:marBottom w:val="0"/>
      <w:divBdr>
        <w:top w:val="none" w:sz="0" w:space="0" w:color="auto"/>
        <w:left w:val="none" w:sz="0" w:space="0" w:color="auto"/>
        <w:bottom w:val="none" w:sz="0" w:space="0" w:color="auto"/>
        <w:right w:val="none" w:sz="0" w:space="0" w:color="auto"/>
      </w:divBdr>
    </w:div>
    <w:div w:id="729963091">
      <w:bodyDiv w:val="1"/>
      <w:marLeft w:val="0"/>
      <w:marRight w:val="0"/>
      <w:marTop w:val="0"/>
      <w:marBottom w:val="0"/>
      <w:divBdr>
        <w:top w:val="none" w:sz="0" w:space="0" w:color="auto"/>
        <w:left w:val="none" w:sz="0" w:space="0" w:color="auto"/>
        <w:bottom w:val="none" w:sz="0" w:space="0" w:color="auto"/>
        <w:right w:val="none" w:sz="0" w:space="0" w:color="auto"/>
      </w:divBdr>
    </w:div>
    <w:div w:id="895581512">
      <w:bodyDiv w:val="1"/>
      <w:marLeft w:val="0"/>
      <w:marRight w:val="0"/>
      <w:marTop w:val="0"/>
      <w:marBottom w:val="0"/>
      <w:divBdr>
        <w:top w:val="none" w:sz="0" w:space="0" w:color="auto"/>
        <w:left w:val="none" w:sz="0" w:space="0" w:color="auto"/>
        <w:bottom w:val="none" w:sz="0" w:space="0" w:color="auto"/>
        <w:right w:val="none" w:sz="0" w:space="0" w:color="auto"/>
      </w:divBdr>
    </w:div>
    <w:div w:id="919413875">
      <w:bodyDiv w:val="1"/>
      <w:marLeft w:val="0"/>
      <w:marRight w:val="0"/>
      <w:marTop w:val="0"/>
      <w:marBottom w:val="0"/>
      <w:divBdr>
        <w:top w:val="none" w:sz="0" w:space="0" w:color="auto"/>
        <w:left w:val="none" w:sz="0" w:space="0" w:color="auto"/>
        <w:bottom w:val="none" w:sz="0" w:space="0" w:color="auto"/>
        <w:right w:val="none" w:sz="0" w:space="0" w:color="auto"/>
      </w:divBdr>
    </w:div>
    <w:div w:id="923487648">
      <w:bodyDiv w:val="1"/>
      <w:marLeft w:val="0"/>
      <w:marRight w:val="0"/>
      <w:marTop w:val="0"/>
      <w:marBottom w:val="0"/>
      <w:divBdr>
        <w:top w:val="none" w:sz="0" w:space="0" w:color="auto"/>
        <w:left w:val="none" w:sz="0" w:space="0" w:color="auto"/>
        <w:bottom w:val="none" w:sz="0" w:space="0" w:color="auto"/>
        <w:right w:val="none" w:sz="0" w:space="0" w:color="auto"/>
      </w:divBdr>
    </w:div>
    <w:div w:id="937637516">
      <w:bodyDiv w:val="1"/>
      <w:marLeft w:val="0"/>
      <w:marRight w:val="0"/>
      <w:marTop w:val="0"/>
      <w:marBottom w:val="0"/>
      <w:divBdr>
        <w:top w:val="none" w:sz="0" w:space="0" w:color="auto"/>
        <w:left w:val="none" w:sz="0" w:space="0" w:color="auto"/>
        <w:bottom w:val="none" w:sz="0" w:space="0" w:color="auto"/>
        <w:right w:val="none" w:sz="0" w:space="0" w:color="auto"/>
      </w:divBdr>
    </w:div>
    <w:div w:id="969820023">
      <w:bodyDiv w:val="1"/>
      <w:marLeft w:val="0"/>
      <w:marRight w:val="0"/>
      <w:marTop w:val="0"/>
      <w:marBottom w:val="0"/>
      <w:divBdr>
        <w:top w:val="none" w:sz="0" w:space="0" w:color="auto"/>
        <w:left w:val="none" w:sz="0" w:space="0" w:color="auto"/>
        <w:bottom w:val="none" w:sz="0" w:space="0" w:color="auto"/>
        <w:right w:val="none" w:sz="0" w:space="0" w:color="auto"/>
      </w:divBdr>
    </w:div>
    <w:div w:id="1014377827">
      <w:bodyDiv w:val="1"/>
      <w:marLeft w:val="0"/>
      <w:marRight w:val="0"/>
      <w:marTop w:val="0"/>
      <w:marBottom w:val="0"/>
      <w:divBdr>
        <w:top w:val="none" w:sz="0" w:space="0" w:color="auto"/>
        <w:left w:val="none" w:sz="0" w:space="0" w:color="auto"/>
        <w:bottom w:val="none" w:sz="0" w:space="0" w:color="auto"/>
        <w:right w:val="none" w:sz="0" w:space="0" w:color="auto"/>
      </w:divBdr>
    </w:div>
    <w:div w:id="1052575621">
      <w:bodyDiv w:val="1"/>
      <w:marLeft w:val="0"/>
      <w:marRight w:val="0"/>
      <w:marTop w:val="0"/>
      <w:marBottom w:val="0"/>
      <w:divBdr>
        <w:top w:val="none" w:sz="0" w:space="0" w:color="auto"/>
        <w:left w:val="none" w:sz="0" w:space="0" w:color="auto"/>
        <w:bottom w:val="none" w:sz="0" w:space="0" w:color="auto"/>
        <w:right w:val="none" w:sz="0" w:space="0" w:color="auto"/>
      </w:divBdr>
    </w:div>
    <w:div w:id="1142384845">
      <w:bodyDiv w:val="1"/>
      <w:marLeft w:val="0"/>
      <w:marRight w:val="0"/>
      <w:marTop w:val="0"/>
      <w:marBottom w:val="0"/>
      <w:divBdr>
        <w:top w:val="none" w:sz="0" w:space="0" w:color="auto"/>
        <w:left w:val="none" w:sz="0" w:space="0" w:color="auto"/>
        <w:bottom w:val="none" w:sz="0" w:space="0" w:color="auto"/>
        <w:right w:val="none" w:sz="0" w:space="0" w:color="auto"/>
      </w:divBdr>
    </w:div>
    <w:div w:id="1170876109">
      <w:bodyDiv w:val="1"/>
      <w:marLeft w:val="0"/>
      <w:marRight w:val="0"/>
      <w:marTop w:val="0"/>
      <w:marBottom w:val="0"/>
      <w:divBdr>
        <w:top w:val="none" w:sz="0" w:space="0" w:color="auto"/>
        <w:left w:val="none" w:sz="0" w:space="0" w:color="auto"/>
        <w:bottom w:val="none" w:sz="0" w:space="0" w:color="auto"/>
        <w:right w:val="none" w:sz="0" w:space="0" w:color="auto"/>
      </w:divBdr>
    </w:div>
    <w:div w:id="1233664851">
      <w:bodyDiv w:val="1"/>
      <w:marLeft w:val="0"/>
      <w:marRight w:val="0"/>
      <w:marTop w:val="0"/>
      <w:marBottom w:val="0"/>
      <w:divBdr>
        <w:top w:val="none" w:sz="0" w:space="0" w:color="auto"/>
        <w:left w:val="none" w:sz="0" w:space="0" w:color="auto"/>
        <w:bottom w:val="none" w:sz="0" w:space="0" w:color="auto"/>
        <w:right w:val="none" w:sz="0" w:space="0" w:color="auto"/>
      </w:divBdr>
    </w:div>
    <w:div w:id="1250383410">
      <w:bodyDiv w:val="1"/>
      <w:marLeft w:val="0"/>
      <w:marRight w:val="0"/>
      <w:marTop w:val="0"/>
      <w:marBottom w:val="0"/>
      <w:divBdr>
        <w:top w:val="none" w:sz="0" w:space="0" w:color="auto"/>
        <w:left w:val="none" w:sz="0" w:space="0" w:color="auto"/>
        <w:bottom w:val="none" w:sz="0" w:space="0" w:color="auto"/>
        <w:right w:val="none" w:sz="0" w:space="0" w:color="auto"/>
      </w:divBdr>
    </w:div>
    <w:div w:id="1252156005">
      <w:bodyDiv w:val="1"/>
      <w:marLeft w:val="0"/>
      <w:marRight w:val="0"/>
      <w:marTop w:val="0"/>
      <w:marBottom w:val="0"/>
      <w:divBdr>
        <w:top w:val="none" w:sz="0" w:space="0" w:color="auto"/>
        <w:left w:val="none" w:sz="0" w:space="0" w:color="auto"/>
        <w:bottom w:val="none" w:sz="0" w:space="0" w:color="auto"/>
        <w:right w:val="none" w:sz="0" w:space="0" w:color="auto"/>
      </w:divBdr>
    </w:div>
    <w:div w:id="1269267505">
      <w:bodyDiv w:val="1"/>
      <w:marLeft w:val="0"/>
      <w:marRight w:val="0"/>
      <w:marTop w:val="0"/>
      <w:marBottom w:val="0"/>
      <w:divBdr>
        <w:top w:val="none" w:sz="0" w:space="0" w:color="auto"/>
        <w:left w:val="none" w:sz="0" w:space="0" w:color="auto"/>
        <w:bottom w:val="none" w:sz="0" w:space="0" w:color="auto"/>
        <w:right w:val="none" w:sz="0" w:space="0" w:color="auto"/>
      </w:divBdr>
    </w:div>
    <w:div w:id="1275863605">
      <w:bodyDiv w:val="1"/>
      <w:marLeft w:val="0"/>
      <w:marRight w:val="0"/>
      <w:marTop w:val="0"/>
      <w:marBottom w:val="0"/>
      <w:divBdr>
        <w:top w:val="none" w:sz="0" w:space="0" w:color="auto"/>
        <w:left w:val="none" w:sz="0" w:space="0" w:color="auto"/>
        <w:bottom w:val="none" w:sz="0" w:space="0" w:color="auto"/>
        <w:right w:val="none" w:sz="0" w:space="0" w:color="auto"/>
      </w:divBdr>
    </w:div>
    <w:div w:id="1311907597">
      <w:bodyDiv w:val="1"/>
      <w:marLeft w:val="0"/>
      <w:marRight w:val="0"/>
      <w:marTop w:val="0"/>
      <w:marBottom w:val="0"/>
      <w:divBdr>
        <w:top w:val="none" w:sz="0" w:space="0" w:color="auto"/>
        <w:left w:val="none" w:sz="0" w:space="0" w:color="auto"/>
        <w:bottom w:val="none" w:sz="0" w:space="0" w:color="auto"/>
        <w:right w:val="none" w:sz="0" w:space="0" w:color="auto"/>
      </w:divBdr>
    </w:div>
    <w:div w:id="1326514792">
      <w:bodyDiv w:val="1"/>
      <w:marLeft w:val="0"/>
      <w:marRight w:val="0"/>
      <w:marTop w:val="0"/>
      <w:marBottom w:val="0"/>
      <w:divBdr>
        <w:top w:val="none" w:sz="0" w:space="0" w:color="auto"/>
        <w:left w:val="none" w:sz="0" w:space="0" w:color="auto"/>
        <w:bottom w:val="none" w:sz="0" w:space="0" w:color="auto"/>
        <w:right w:val="none" w:sz="0" w:space="0" w:color="auto"/>
      </w:divBdr>
    </w:div>
    <w:div w:id="1379206996">
      <w:bodyDiv w:val="1"/>
      <w:marLeft w:val="0"/>
      <w:marRight w:val="0"/>
      <w:marTop w:val="0"/>
      <w:marBottom w:val="0"/>
      <w:divBdr>
        <w:top w:val="none" w:sz="0" w:space="0" w:color="auto"/>
        <w:left w:val="none" w:sz="0" w:space="0" w:color="auto"/>
        <w:bottom w:val="none" w:sz="0" w:space="0" w:color="auto"/>
        <w:right w:val="none" w:sz="0" w:space="0" w:color="auto"/>
      </w:divBdr>
    </w:div>
    <w:div w:id="1426921624">
      <w:bodyDiv w:val="1"/>
      <w:marLeft w:val="0"/>
      <w:marRight w:val="0"/>
      <w:marTop w:val="0"/>
      <w:marBottom w:val="0"/>
      <w:divBdr>
        <w:top w:val="none" w:sz="0" w:space="0" w:color="auto"/>
        <w:left w:val="none" w:sz="0" w:space="0" w:color="auto"/>
        <w:bottom w:val="none" w:sz="0" w:space="0" w:color="auto"/>
        <w:right w:val="none" w:sz="0" w:space="0" w:color="auto"/>
      </w:divBdr>
    </w:div>
    <w:div w:id="1592617548">
      <w:bodyDiv w:val="1"/>
      <w:marLeft w:val="0"/>
      <w:marRight w:val="0"/>
      <w:marTop w:val="0"/>
      <w:marBottom w:val="0"/>
      <w:divBdr>
        <w:top w:val="none" w:sz="0" w:space="0" w:color="auto"/>
        <w:left w:val="none" w:sz="0" w:space="0" w:color="auto"/>
        <w:bottom w:val="none" w:sz="0" w:space="0" w:color="auto"/>
        <w:right w:val="none" w:sz="0" w:space="0" w:color="auto"/>
      </w:divBdr>
    </w:div>
    <w:div w:id="1628975409">
      <w:bodyDiv w:val="1"/>
      <w:marLeft w:val="0"/>
      <w:marRight w:val="0"/>
      <w:marTop w:val="0"/>
      <w:marBottom w:val="0"/>
      <w:divBdr>
        <w:top w:val="none" w:sz="0" w:space="0" w:color="auto"/>
        <w:left w:val="none" w:sz="0" w:space="0" w:color="auto"/>
        <w:bottom w:val="none" w:sz="0" w:space="0" w:color="auto"/>
        <w:right w:val="none" w:sz="0" w:space="0" w:color="auto"/>
      </w:divBdr>
      <w:divsChild>
        <w:div w:id="63528996">
          <w:marLeft w:val="1800"/>
          <w:marRight w:val="0"/>
          <w:marTop w:val="100"/>
          <w:marBottom w:val="0"/>
          <w:divBdr>
            <w:top w:val="none" w:sz="0" w:space="0" w:color="auto"/>
            <w:left w:val="none" w:sz="0" w:space="0" w:color="auto"/>
            <w:bottom w:val="none" w:sz="0" w:space="0" w:color="auto"/>
            <w:right w:val="none" w:sz="0" w:space="0" w:color="auto"/>
          </w:divBdr>
        </w:div>
        <w:div w:id="571353209">
          <w:marLeft w:val="1080"/>
          <w:marRight w:val="0"/>
          <w:marTop w:val="100"/>
          <w:marBottom w:val="0"/>
          <w:divBdr>
            <w:top w:val="none" w:sz="0" w:space="0" w:color="auto"/>
            <w:left w:val="none" w:sz="0" w:space="0" w:color="auto"/>
            <w:bottom w:val="none" w:sz="0" w:space="0" w:color="auto"/>
            <w:right w:val="none" w:sz="0" w:space="0" w:color="auto"/>
          </w:divBdr>
        </w:div>
        <w:div w:id="2145003159">
          <w:marLeft w:val="1800"/>
          <w:marRight w:val="0"/>
          <w:marTop w:val="100"/>
          <w:marBottom w:val="0"/>
          <w:divBdr>
            <w:top w:val="none" w:sz="0" w:space="0" w:color="auto"/>
            <w:left w:val="none" w:sz="0" w:space="0" w:color="auto"/>
            <w:bottom w:val="none" w:sz="0" w:space="0" w:color="auto"/>
            <w:right w:val="none" w:sz="0" w:space="0" w:color="auto"/>
          </w:divBdr>
        </w:div>
      </w:divsChild>
    </w:div>
    <w:div w:id="1651446362">
      <w:bodyDiv w:val="1"/>
      <w:marLeft w:val="0"/>
      <w:marRight w:val="0"/>
      <w:marTop w:val="0"/>
      <w:marBottom w:val="0"/>
      <w:divBdr>
        <w:top w:val="none" w:sz="0" w:space="0" w:color="auto"/>
        <w:left w:val="none" w:sz="0" w:space="0" w:color="auto"/>
        <w:bottom w:val="none" w:sz="0" w:space="0" w:color="auto"/>
        <w:right w:val="none" w:sz="0" w:space="0" w:color="auto"/>
      </w:divBdr>
    </w:div>
    <w:div w:id="1668168153">
      <w:bodyDiv w:val="1"/>
      <w:marLeft w:val="0"/>
      <w:marRight w:val="0"/>
      <w:marTop w:val="0"/>
      <w:marBottom w:val="0"/>
      <w:divBdr>
        <w:top w:val="none" w:sz="0" w:space="0" w:color="auto"/>
        <w:left w:val="none" w:sz="0" w:space="0" w:color="auto"/>
        <w:bottom w:val="none" w:sz="0" w:space="0" w:color="auto"/>
        <w:right w:val="none" w:sz="0" w:space="0" w:color="auto"/>
      </w:divBdr>
    </w:div>
    <w:div w:id="1669210063">
      <w:bodyDiv w:val="1"/>
      <w:marLeft w:val="0"/>
      <w:marRight w:val="0"/>
      <w:marTop w:val="0"/>
      <w:marBottom w:val="0"/>
      <w:divBdr>
        <w:top w:val="none" w:sz="0" w:space="0" w:color="auto"/>
        <w:left w:val="none" w:sz="0" w:space="0" w:color="auto"/>
        <w:bottom w:val="none" w:sz="0" w:space="0" w:color="auto"/>
        <w:right w:val="none" w:sz="0" w:space="0" w:color="auto"/>
      </w:divBdr>
    </w:div>
    <w:div w:id="1704405774">
      <w:bodyDiv w:val="1"/>
      <w:marLeft w:val="0"/>
      <w:marRight w:val="0"/>
      <w:marTop w:val="0"/>
      <w:marBottom w:val="0"/>
      <w:divBdr>
        <w:top w:val="none" w:sz="0" w:space="0" w:color="auto"/>
        <w:left w:val="none" w:sz="0" w:space="0" w:color="auto"/>
        <w:bottom w:val="none" w:sz="0" w:space="0" w:color="auto"/>
        <w:right w:val="none" w:sz="0" w:space="0" w:color="auto"/>
      </w:divBdr>
    </w:div>
    <w:div w:id="1794715933">
      <w:bodyDiv w:val="1"/>
      <w:marLeft w:val="0"/>
      <w:marRight w:val="0"/>
      <w:marTop w:val="0"/>
      <w:marBottom w:val="0"/>
      <w:divBdr>
        <w:top w:val="none" w:sz="0" w:space="0" w:color="auto"/>
        <w:left w:val="none" w:sz="0" w:space="0" w:color="auto"/>
        <w:bottom w:val="none" w:sz="0" w:space="0" w:color="auto"/>
        <w:right w:val="none" w:sz="0" w:space="0" w:color="auto"/>
      </w:divBdr>
    </w:div>
    <w:div w:id="1811897354">
      <w:bodyDiv w:val="1"/>
      <w:marLeft w:val="0"/>
      <w:marRight w:val="0"/>
      <w:marTop w:val="0"/>
      <w:marBottom w:val="0"/>
      <w:divBdr>
        <w:top w:val="none" w:sz="0" w:space="0" w:color="auto"/>
        <w:left w:val="none" w:sz="0" w:space="0" w:color="auto"/>
        <w:bottom w:val="none" w:sz="0" w:space="0" w:color="auto"/>
        <w:right w:val="none" w:sz="0" w:space="0" w:color="auto"/>
      </w:divBdr>
    </w:div>
    <w:div w:id="1855344281">
      <w:bodyDiv w:val="1"/>
      <w:marLeft w:val="0"/>
      <w:marRight w:val="0"/>
      <w:marTop w:val="0"/>
      <w:marBottom w:val="0"/>
      <w:divBdr>
        <w:top w:val="none" w:sz="0" w:space="0" w:color="auto"/>
        <w:left w:val="none" w:sz="0" w:space="0" w:color="auto"/>
        <w:bottom w:val="none" w:sz="0" w:space="0" w:color="auto"/>
        <w:right w:val="none" w:sz="0" w:space="0" w:color="auto"/>
      </w:divBdr>
    </w:div>
    <w:div w:id="1984305958">
      <w:bodyDiv w:val="1"/>
      <w:marLeft w:val="0"/>
      <w:marRight w:val="0"/>
      <w:marTop w:val="0"/>
      <w:marBottom w:val="0"/>
      <w:divBdr>
        <w:top w:val="none" w:sz="0" w:space="0" w:color="auto"/>
        <w:left w:val="none" w:sz="0" w:space="0" w:color="auto"/>
        <w:bottom w:val="none" w:sz="0" w:space="0" w:color="auto"/>
        <w:right w:val="none" w:sz="0" w:space="0" w:color="auto"/>
      </w:divBdr>
    </w:div>
    <w:div w:id="2013100571">
      <w:bodyDiv w:val="1"/>
      <w:marLeft w:val="0"/>
      <w:marRight w:val="0"/>
      <w:marTop w:val="0"/>
      <w:marBottom w:val="0"/>
      <w:divBdr>
        <w:top w:val="none" w:sz="0" w:space="0" w:color="auto"/>
        <w:left w:val="none" w:sz="0" w:space="0" w:color="auto"/>
        <w:bottom w:val="none" w:sz="0" w:space="0" w:color="auto"/>
        <w:right w:val="none" w:sz="0" w:space="0" w:color="auto"/>
      </w:divBdr>
    </w:div>
    <w:div w:id="2027753971">
      <w:bodyDiv w:val="1"/>
      <w:marLeft w:val="0"/>
      <w:marRight w:val="0"/>
      <w:marTop w:val="0"/>
      <w:marBottom w:val="0"/>
      <w:divBdr>
        <w:top w:val="none" w:sz="0" w:space="0" w:color="auto"/>
        <w:left w:val="none" w:sz="0" w:space="0" w:color="auto"/>
        <w:bottom w:val="none" w:sz="0" w:space="0" w:color="auto"/>
        <w:right w:val="none" w:sz="0" w:space="0" w:color="auto"/>
      </w:divBdr>
    </w:div>
    <w:div w:id="207057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ublication Document" ma:contentTypeID="0x010100F025371A0D5F1846930DBA2C9EDAF56600AFC9069F21C440458F2314C115976576" ma:contentTypeVersion="10" ma:contentTypeDescription="Create a new document." ma:contentTypeScope="" ma:versionID="1c8780a4788c3890a667635e8c53836e">
  <xsd:schema xmlns:xsd="http://www.w3.org/2001/XMLSchema" xmlns:xs="http://www.w3.org/2001/XMLSchema" xmlns:p="http://schemas.microsoft.com/office/2006/metadata/properties" xmlns:ns1="http://schemas.microsoft.com/sharepoint/v3" xmlns:ns2="46cf5d05-017c-4f03-b1f6-893edf8c1825" xmlns:ns3="2b395ac2-8163-4b1c-b2c0-fcf6a8d6604b" targetNamespace="http://schemas.microsoft.com/office/2006/metadata/properties" ma:root="true" ma:fieldsID="085a5981a0ee1559a6e92f15f10ee0d7" ns1:_="" ns2:_="" ns3:_="">
    <xsd:import namespace="http://schemas.microsoft.com/sharepoint/v3"/>
    <xsd:import namespace="46cf5d05-017c-4f03-b1f6-893edf8c1825"/>
    <xsd:import namespace="2b395ac2-8163-4b1c-b2c0-fcf6a8d6604b"/>
    <xsd:element name="properties">
      <xsd:complexType>
        <xsd:sequence>
          <xsd:element name="documentManagement">
            <xsd:complexType>
              <xsd:all>
                <xsd:element ref="ns2:m4e5b9a57ee34142859f8aa69e31e7bd" minOccurs="0"/>
                <xsd:element ref="ns2:TaxCatchAll" minOccurs="0"/>
                <xsd:element ref="ns2:TaxCatchAllLabel" minOccurs="0"/>
                <xsd:element ref="ns2:e3b8259dbd224628b8b94cebb83fde6b" minOccurs="0"/>
                <xsd:element ref="ns2:b687f5c370784be381b55f490b18f6b4" minOccurs="0"/>
                <xsd:element ref="ns3:Publication_x0020_Date" minOccurs="0"/>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7"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cf5d05-017c-4f03-b1f6-893edf8c1825" elementFormDefault="qualified">
    <xsd:import namespace="http://schemas.microsoft.com/office/2006/documentManagement/types"/>
    <xsd:import namespace="http://schemas.microsoft.com/office/infopath/2007/PartnerControls"/>
    <xsd:element name="m4e5b9a57ee34142859f8aa69e31e7bd" ma:index="8" nillable="true" ma:displayName="Document Type_0" ma:hidden="true" ma:internalName="m4e5b9a57ee34142859f8aa69e31e7bd">
      <xsd:simpleType>
        <xsd:restriction base="dms:Note"/>
      </xsd:simpleType>
    </xsd:element>
    <xsd:element name="TaxCatchAll" ma:index="9" nillable="true" ma:displayName="Taxonomy Catch All Column" ma:description="" ma:hidden="true" ma:list="{df6c9081-745a-4c96-a42a-40c5dedd0e67}" ma:internalName="TaxCatchAll" ma:showField="CatchAllData"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f6c9081-745a-4c96-a42a-40c5dedd0e67}" ma:internalName="TaxCatchAllLabel" ma:readOnly="true" ma:showField="CatchAllDataLabel"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e3b8259dbd224628b8b94cebb83fde6b" ma:index="12" nillable="true" ma:displayName="Document Topic_0" ma:hidden="true" ma:internalName="e3b8259dbd224628b8b94cebb83fde6b">
      <xsd:simpleType>
        <xsd:restriction base="dms:Note"/>
      </xsd:simpleType>
    </xsd:element>
    <xsd:element name="b687f5c370784be381b55f490b18f6b4" ma:index="14" nillable="true" ma:displayName="Involved Party_0" ma:hidden="true" ma:internalName="b687f5c370784be381b55f490b18f6b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95ac2-8163-4b1c-b2c0-fcf6a8d6604b" elementFormDefault="qualified">
    <xsd:import namespace="http://schemas.microsoft.com/office/2006/documentManagement/types"/>
    <xsd:import namespace="http://schemas.microsoft.com/office/infopath/2007/PartnerControls"/>
    <xsd:element name="Publication_x0020_Date" ma:index="16" nillable="true" ma:displayName="Publication Date" ma:format="DateOnly" ma:internalName="Public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TaxCatchAll xmlns="46cf5d05-017c-4f03-b1f6-893edf8c1825"/>
    <Publication_x0020_Date xmlns="2b395ac2-8163-4b1c-b2c0-fcf6a8d6604b" xsi:nil="true"/>
    <b687f5c370784be381b55f490b18f6b4 xmlns="46cf5d05-017c-4f03-b1f6-893edf8c1825" xsi:nil="true"/>
    <StartDate xmlns="http://schemas.microsoft.com/sharepoint/v3">2018-03-28T07:38:00+00:00</StartDate>
    <e3b8259dbd224628b8b94cebb83fde6b xmlns="46cf5d05-017c-4f03-b1f6-893edf8c1825" xsi:nil="true"/>
    <m4e5b9a57ee34142859f8aa69e31e7bd xmlns="46cf5d05-017c-4f03-b1f6-893edf8c182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F7F89-CB73-476C-B576-9E0711CEE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cf5d05-017c-4f03-b1f6-893edf8c1825"/>
    <ds:schemaRef ds:uri="2b395ac2-8163-4b1c-b2c0-fcf6a8d66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A0D03-90CB-44C2-AC70-4494113764DE}">
  <ds:schemaRefs/>
</ds:datastoreItem>
</file>

<file path=customXml/itemProps3.xml><?xml version="1.0" encoding="utf-8"?>
<ds:datastoreItem xmlns:ds="http://schemas.openxmlformats.org/officeDocument/2006/customXml" ds:itemID="{FFC034BF-2DFD-4487-AC31-BC15A003F912}">
  <ds:schemaRefs>
    <ds:schemaRef ds:uri="http://schemas.microsoft.com/sharepoint/v3/contenttype/forms/url"/>
  </ds:schemaRefs>
</ds:datastoreItem>
</file>

<file path=customXml/itemProps4.xml><?xml version="1.0" encoding="utf-8"?>
<ds:datastoreItem xmlns:ds="http://schemas.openxmlformats.org/officeDocument/2006/customXml" ds:itemID="{59EB6CE7-3F70-47ED-83B6-97EC8DDFC884}">
  <ds:schemaRefs>
    <ds:schemaRef ds:uri="http://schemas.microsoft.com/office/2006/metadata/properties"/>
    <ds:schemaRef ds:uri="http://schemas.microsoft.com/office/infopath/2007/PartnerControls"/>
    <ds:schemaRef ds:uri="08acf695-f66a-4768-b3cf-48c5dc920dbe"/>
    <ds:schemaRef ds:uri="http://schemas.microsoft.com/sharepoint/v4"/>
    <ds:schemaRef ds:uri="http://schemas.microsoft.com/sharepoint/v3"/>
    <ds:schemaRef ds:uri="46cf5d05-017c-4f03-b1f6-893edf8c1825"/>
    <ds:schemaRef ds:uri="2b395ac2-8163-4b1c-b2c0-fcf6a8d6604b"/>
  </ds:schemaRefs>
</ds:datastoreItem>
</file>

<file path=customXml/itemProps5.xml><?xml version="1.0" encoding="utf-8"?>
<ds:datastoreItem xmlns:ds="http://schemas.openxmlformats.org/officeDocument/2006/customXml" ds:itemID="{3255DBB7-BE47-42C8-B5D2-5969B478A09F}">
  <ds:schemaRefs>
    <ds:schemaRef ds:uri="http://schemas.openxmlformats.org/officeDocument/2006/bibliography"/>
  </ds:schemaRefs>
</ds:datastoreItem>
</file>

<file path=customXml/itemProps6.xml><?xml version="1.0" encoding="utf-8"?>
<ds:datastoreItem xmlns:ds="http://schemas.openxmlformats.org/officeDocument/2006/customXml" ds:itemID="{65E69467-703E-4772-A79C-09A49728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3711</Words>
  <Characters>30061</Characters>
  <Application>Microsoft Office Word</Application>
  <DocSecurity>4</DocSecurity>
  <Lines>250</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EIOPA-BoS-17-197-Draft Amendment of ITS on Reporting</vt:lpstr>
      <vt:lpstr>EIOPA-BoS-17-197-Draft Amendment of ITS on Reporting</vt:lpstr>
    </vt:vector>
  </TitlesOfParts>
  <LinksUpToDate>false</LinksUpToDate>
  <CharactersWithSpaces>33705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EIOPA-BoS-17-197-Draft Amendment of ITS on Reporting</dc:title>
  <dc:creator/>
  <cp:lastModifiedBy/>
  <cp:revision>1</cp:revision>
  <dcterms:created xsi:type="dcterms:W3CDTF">2018-08-10T08:08:00Z</dcterms:created>
  <dcterms:modified xsi:type="dcterms:W3CDTF">2018-08-10T08:08:00Z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Red</vt:lpwstr>
  </property>
  <property fmtid="{D5CDD505-2E9C-101B-9397-08002B2CF9AE}" pid="3" name="_NewReviewCycle">
    <vt:lpwstr/>
  </property>
  <property fmtid="{D5CDD505-2E9C-101B-9397-08002B2CF9AE}" pid="4" name="ContentTypeId">
    <vt:lpwstr>0x010100F025371A0D5F1846930DBA2C9EDAF56600AFC9069F21C440458F2314C115976576</vt:lpwstr>
  </property>
  <property fmtid="{D5CDD505-2E9C-101B-9397-08002B2CF9AE}" pid="5" name="ERIS_Keywords">
    <vt:lpwstr>8;#Quantitative Reporting Templates|d7753427-b1c9-4f72-b6a6-10b2a5ee67e3;#4;#Prudential Policy|43245a93-b13b-4262-9edd-8f7887118150;#5;#Regulatory Framework Monitoring|c95f4284-c8c2-4a99-bcad-302f92cd1745</vt:lpwstr>
  </property>
  <property fmtid="{D5CDD505-2E9C-101B-9397-08002B2CF9AE}" pid="6" name="ERIS_Department">
    <vt:lpwstr>9;#Supervisory Processes Department|3a9db3ad-f1a2-49c0-8c29-af39c608fb30</vt:lpwstr>
  </property>
  <property fmtid="{D5CDD505-2E9C-101B-9397-08002B2CF9AE}" pid="7" name="ERIS_DocumentType">
    <vt:lpwstr>32;#Report|9c1f1089-3cd8-45b3-9c9b-368074e8f8b2</vt:lpwstr>
  </property>
  <property fmtid="{D5CDD505-2E9C-101B-9397-08002B2CF9AE}" pid="8" name="ERIS_Language">
    <vt:lpwstr>3;#English|2741a941-2920-4ba4-aa70-d8ed6ac1785d</vt:lpwstr>
  </property>
  <property fmtid="{D5CDD505-2E9C-101B-9397-08002B2CF9AE}" pid="9" name="URL">
    <vt:lpwstr/>
  </property>
  <property fmtid="{D5CDD505-2E9C-101B-9397-08002B2CF9AE}" pid="10" name="ERIS_BCC">
    <vt:lpwstr/>
  </property>
  <property fmtid="{D5CDD505-2E9C-101B-9397-08002B2CF9AE}" pid="11" name="ERIS_CC">
    <vt:lpwstr/>
  </property>
  <property fmtid="{D5CDD505-2E9C-101B-9397-08002B2CF9AE}" pid="12" name="ERIS_To">
    <vt:lpwstr/>
  </property>
  <property fmtid="{D5CDD505-2E9C-101B-9397-08002B2CF9AE}" pid="13" name="ERIS_Subject">
    <vt:lpwstr/>
  </property>
  <property fmtid="{D5CDD505-2E9C-101B-9397-08002B2CF9AE}" pid="14" name="ERIS_From">
    <vt:lpwstr/>
  </property>
  <property fmtid="{D5CDD505-2E9C-101B-9397-08002B2CF9AE}" pid="15" name="RecordPoint_WorkflowType">
    <vt:lpwstr>ActiveSubmitStub</vt:lpwstr>
  </property>
  <property fmtid="{D5CDD505-2E9C-101B-9397-08002B2CF9AE}" pid="16" name="RecordPoint_ActiveItemWebId">
    <vt:lpwstr>{7d3a43e0-6a6d-43c3-be80-d9064606a4a9}</vt:lpwstr>
  </property>
  <property fmtid="{D5CDD505-2E9C-101B-9397-08002B2CF9AE}" pid="17" name="RecordPoint_ActiveItemSiteId">
    <vt:lpwstr>{7a172dfa-c9d6-41b8-93a6-13c75f55ec66}</vt:lpwstr>
  </property>
  <property fmtid="{D5CDD505-2E9C-101B-9397-08002B2CF9AE}" pid="18" name="RecordPoint_ActiveItemListId">
    <vt:lpwstr>{335d190b-d285-4fb9-b9c4-fd3b7459182d}</vt:lpwstr>
  </property>
  <property fmtid="{D5CDD505-2E9C-101B-9397-08002B2CF9AE}" pid="19" name="RecordPoint_ActiveItemUniqueId">
    <vt:lpwstr>{2850f18f-3c43-47a5-be9c-b2546c67972a}</vt:lpwstr>
  </property>
  <property fmtid="{D5CDD505-2E9C-101B-9397-08002B2CF9AE}" pid="20" name="RecordPoint_RecordNumberSubmitted">
    <vt:lpwstr>EIOPA(2018)0153924</vt:lpwstr>
  </property>
  <property fmtid="{D5CDD505-2E9C-101B-9397-08002B2CF9AE}" pid="21" name="RecordPoint_SubmissionCompleted">
    <vt:lpwstr>2018-03-23T14:10:47.4689061+01:00</vt:lpwstr>
  </property>
  <property fmtid="{D5CDD505-2E9C-101B-9397-08002B2CF9AE}" pid="22" name="RecordPoint_SubmissionDate">
    <vt:lpwstr/>
  </property>
  <property fmtid="{D5CDD505-2E9C-101B-9397-08002B2CF9AE}" pid="23" name="RecordPoint_ActiveItemMoved">
    <vt:lpwstr/>
  </property>
  <property fmtid="{D5CDD505-2E9C-101B-9397-08002B2CF9AE}" pid="24" name="RecordPoint_RecordFormat">
    <vt:lpwstr/>
  </property>
  <property fmtid="{D5CDD505-2E9C-101B-9397-08002B2CF9AE}" pid="25" name="_AdHocReviewCycleID">
    <vt:i4>-1921424758</vt:i4>
  </property>
  <property fmtid="{D5CDD505-2E9C-101B-9397-08002B2CF9AE}" pid="26" name="_PreviousAdHocReviewCycleID">
    <vt:i4>769243574</vt:i4>
  </property>
  <property fmtid="{D5CDD505-2E9C-101B-9397-08002B2CF9AE}" pid="27" name="Involved Party">
    <vt:lpwstr/>
  </property>
  <property fmtid="{D5CDD505-2E9C-101B-9397-08002B2CF9AE}" pid="28" name="lf7ec453acb346f5b4feea7d032d6f2c">
    <vt:lpwstr/>
  </property>
  <property fmtid="{D5CDD505-2E9C-101B-9397-08002B2CF9AE}" pid="29" name="Document Topic">
    <vt:lpwstr/>
  </property>
  <property fmtid="{D5CDD505-2E9C-101B-9397-08002B2CF9AE}" pid="30" name="obb4efe42ba0440ebcc21f478af52bc7">
    <vt:lpwstr/>
  </property>
  <property fmtid="{D5CDD505-2E9C-101B-9397-08002B2CF9AE}" pid="31" name="m4764fd034b84a6e893e168ee26c887c">
    <vt:lpwstr/>
  </property>
  <property fmtid="{D5CDD505-2E9C-101B-9397-08002B2CF9AE}" pid="32" name="Document Type">
    <vt:lpwstr/>
  </property>
  <property fmtid="{D5CDD505-2E9C-101B-9397-08002B2CF9AE}" pid="33" name="_ReviewingToolsShownOnce">
    <vt:lpwstr/>
  </property>
</Properties>
</file>